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F3896" w14:textId="4CCF1785" w:rsidR="001A655F" w:rsidRDefault="001A655F" w:rsidP="00EF5A74">
      <w:pPr>
        <w:pStyle w:val="Heading1"/>
        <w:spacing w:after="1560"/>
      </w:pPr>
      <w:bookmarkStart w:id="0" w:name="OLE_LINK1"/>
      <w:bookmarkStart w:id="1" w:name="OLE_LINK2"/>
      <w:bookmarkStart w:id="2" w:name="_GoBack"/>
      <w:bookmarkEnd w:id="2"/>
      <w:r>
        <w:rPr>
          <w:noProof/>
        </w:rPr>
        <w:drawing>
          <wp:inline distT="0" distB="0" distL="0" distR="0" wp14:anchorId="6FB64674" wp14:editId="71A7536B">
            <wp:extent cx="5384206" cy="847725"/>
            <wp:effectExtent l="0" t="0" r="6985" b="0"/>
            <wp:docPr id="2" name="Picture 2" descr="ASA24 Logo" title="ASA2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 3.15.16.jpg"/>
                    <pic:cNvPicPr/>
                  </pic:nvPicPr>
                  <pic:blipFill>
                    <a:blip r:embed="rId8"/>
                    <a:stretch>
                      <a:fillRect/>
                    </a:stretch>
                  </pic:blipFill>
                  <pic:spPr>
                    <a:xfrm>
                      <a:off x="0" y="0"/>
                      <a:ext cx="5403576" cy="850775"/>
                    </a:xfrm>
                    <a:prstGeom prst="rect">
                      <a:avLst/>
                    </a:prstGeom>
                  </pic:spPr>
                </pic:pic>
              </a:graphicData>
            </a:graphic>
          </wp:inline>
        </w:drawing>
      </w:r>
    </w:p>
    <w:p w14:paraId="5D4E33DB" w14:textId="5DC2485E" w:rsidR="00B72531" w:rsidRDefault="00B72531" w:rsidP="001A655F">
      <w:pPr>
        <w:pStyle w:val="Heading1"/>
        <w:jc w:val="center"/>
      </w:pPr>
      <w:r w:rsidRPr="00F55FEA">
        <w:t>Overview of the ASA24</w:t>
      </w:r>
      <w:r w:rsidR="00CD723F">
        <w:sym w:font="Symbol" w:char="F0D2"/>
      </w:r>
      <w:r w:rsidRPr="00F55FEA">
        <w:t xml:space="preserve"> Respondent Web</w:t>
      </w:r>
      <w:r w:rsidRPr="00646B9D">
        <w:t>sites and</w:t>
      </w:r>
      <w:r w:rsidR="006E04DB" w:rsidRPr="00646B9D">
        <w:t xml:space="preserve"> </w:t>
      </w:r>
      <w:r w:rsidR="006E04DB" w:rsidRPr="00646B9D">
        <w:br/>
      </w:r>
      <w:r w:rsidRPr="00646B9D">
        <w:t>Considerations Related to Data Security and Participant Confidentiality</w:t>
      </w:r>
    </w:p>
    <w:p w14:paraId="569D19F5" w14:textId="77777777" w:rsidR="001A655F" w:rsidRDefault="001A655F" w:rsidP="001A655F">
      <w:pPr>
        <w:pStyle w:val="Footer"/>
        <w:rPr>
          <w:rFonts w:asciiTheme="majorHAnsi" w:hAnsiTheme="majorHAnsi"/>
          <w:b/>
          <w:i/>
          <w:sz w:val="20"/>
        </w:rPr>
      </w:pPr>
      <w:r w:rsidRPr="00AF7759">
        <w:rPr>
          <w:rFonts w:asciiTheme="majorHAnsi" w:hAnsiTheme="majorHAnsi"/>
          <w:b/>
          <w:i/>
          <w:sz w:val="20"/>
        </w:rPr>
        <w:tab/>
      </w:r>
    </w:p>
    <w:p w14:paraId="13C4C8AC" w14:textId="3D0A7E53" w:rsidR="001A655F" w:rsidRDefault="001A655F" w:rsidP="00EF5A74">
      <w:pPr>
        <w:pStyle w:val="Footer"/>
        <w:spacing w:after="7920"/>
        <w:jc w:val="center"/>
        <w:rPr>
          <w:rFonts w:asciiTheme="majorHAnsi" w:hAnsiTheme="majorHAnsi"/>
          <w:b/>
          <w:sz w:val="20"/>
        </w:rPr>
      </w:pPr>
      <w:r w:rsidRPr="001A655F">
        <w:rPr>
          <w:rFonts w:asciiTheme="majorHAnsi" w:hAnsiTheme="majorHAnsi"/>
          <w:b/>
          <w:sz w:val="20"/>
        </w:rPr>
        <w:t>Updated October 2018</w:t>
      </w:r>
    </w:p>
    <w:p w14:paraId="6265BAC4" w14:textId="61D5421A" w:rsidR="001A655F" w:rsidRPr="001A655F" w:rsidRDefault="001A655F" w:rsidP="001A655F">
      <w:pPr>
        <w:pStyle w:val="Footer"/>
        <w:jc w:val="center"/>
        <w:rPr>
          <w:rFonts w:asciiTheme="majorHAnsi" w:hAnsiTheme="majorHAnsi"/>
          <w:b/>
          <w:sz w:val="20"/>
        </w:rPr>
      </w:pPr>
      <w:r w:rsidRPr="00AF7759">
        <w:rPr>
          <w:rFonts w:asciiTheme="majorHAnsi" w:hAnsiTheme="majorHAnsi"/>
          <w:b/>
          <w:i/>
          <w:sz w:val="20"/>
        </w:rPr>
        <w:t>ASA24® is a registered trademark of HHS</w:t>
      </w:r>
    </w:p>
    <w:p w14:paraId="799993B7" w14:textId="77777777" w:rsidR="001A655F" w:rsidRPr="001A655F" w:rsidRDefault="001A655F" w:rsidP="001A655F"/>
    <w:bookmarkEnd w:id="0"/>
    <w:bookmarkEnd w:id="1"/>
    <w:p w14:paraId="2C2D272E" w14:textId="77777777" w:rsidR="00EF5A74" w:rsidRDefault="00EF5A74">
      <w:pPr>
        <w:rPr>
          <w:rFonts w:asciiTheme="majorHAnsi" w:hAnsiTheme="majorHAnsi" w:cs="Times New Roman"/>
        </w:rPr>
      </w:pPr>
      <w:r>
        <w:br w:type="page"/>
      </w:r>
    </w:p>
    <w:p w14:paraId="1C284AE7" w14:textId="3A4CB79F" w:rsidR="00B72531" w:rsidRPr="006C38EE" w:rsidRDefault="00B72531" w:rsidP="00585E93">
      <w:pPr>
        <w:pStyle w:val="BodyText"/>
      </w:pPr>
      <w:r w:rsidRPr="00D17812">
        <w:lastRenderedPageBreak/>
        <w:t>Extensive evidence has demonstrated that 24-hour dietary recalls provide the highest quality, least biased dietary data. Traditional 2</w:t>
      </w:r>
      <w:r w:rsidRPr="00DE19E5">
        <w:t>4-hour recalls, however, are expensive and impractical for large-scale research because they rely on trained interviewers and multiple administrations to estimate usual intakes. As a result, researchers often make use of food frequency questionnaires, whic</w:t>
      </w:r>
      <w:r w:rsidRPr="006C38EE">
        <w:t>h are less expensive but contain substantial error.</w:t>
      </w:r>
    </w:p>
    <w:p w14:paraId="50CE3A70" w14:textId="15FD38DC" w:rsidR="00B72531" w:rsidRPr="00F55FEA" w:rsidRDefault="00B72531" w:rsidP="00585E93">
      <w:pPr>
        <w:pStyle w:val="BodyText"/>
      </w:pPr>
      <w:r w:rsidRPr="006C38EE">
        <w:t xml:space="preserve">To address this challenge, investigators at </w:t>
      </w:r>
      <w:r w:rsidR="00FE2A9F">
        <w:t>the National Cancer Institute (</w:t>
      </w:r>
      <w:r w:rsidRPr="006C38EE">
        <w:t>NCI</w:t>
      </w:r>
      <w:r w:rsidR="00FE2A9F">
        <w:t>)</w:t>
      </w:r>
      <w:r w:rsidRPr="006C38EE">
        <w:t xml:space="preserve"> created the Automated Self-</w:t>
      </w:r>
      <w:r w:rsidR="00CD723F">
        <w:t>A</w:t>
      </w:r>
      <w:r w:rsidRPr="006C38EE">
        <w:t>dministered 24</w:t>
      </w:r>
      <w:r w:rsidR="00585E93" w:rsidRPr="00FC0757">
        <w:noBreakHyphen/>
      </w:r>
      <w:r w:rsidRPr="00F55FEA">
        <w:t xml:space="preserve">hour </w:t>
      </w:r>
      <w:r w:rsidR="00E46BE6">
        <w:t>Dietary Assessment tool</w:t>
      </w:r>
      <w:r w:rsidR="00E46BE6" w:rsidRPr="00F55FEA">
        <w:t xml:space="preserve"> </w:t>
      </w:r>
      <w:r w:rsidRPr="00F55FEA">
        <w:t>(ASA24), a freely-available, web-based tool that enables multiple automated self-administered 24-hour recalls</w:t>
      </w:r>
      <w:r w:rsidR="00E46BE6">
        <w:t xml:space="preserve"> and food records</w:t>
      </w:r>
      <w:r w:rsidRPr="00F55FEA">
        <w:t xml:space="preserve">. </w:t>
      </w:r>
      <w:r w:rsidR="00CD723F">
        <w:t xml:space="preserve">The </w:t>
      </w:r>
      <w:r w:rsidRPr="00F55FEA">
        <w:t xml:space="preserve">ASA24 </w:t>
      </w:r>
      <w:r w:rsidR="00CD723F">
        <w:t xml:space="preserve">system </w:t>
      </w:r>
      <w:r w:rsidRPr="00F55FEA">
        <w:t xml:space="preserve">was developed under contract with </w:t>
      </w:r>
      <w:proofErr w:type="spellStart"/>
      <w:r w:rsidRPr="00F55FEA">
        <w:t>Westat</w:t>
      </w:r>
      <w:proofErr w:type="spellEnd"/>
      <w:r w:rsidR="0049347B" w:rsidRPr="00F55FEA">
        <w:t>®</w:t>
      </w:r>
      <w:r w:rsidRPr="00F55FEA">
        <w:t>, a social science research firm located in Rockville, MD, and builds on the Food Intake Recording Software System (</w:t>
      </w:r>
      <w:proofErr w:type="spellStart"/>
      <w:r w:rsidRPr="00F55FEA">
        <w:t>FIRSSt</w:t>
      </w:r>
      <w:proofErr w:type="spellEnd"/>
      <w:r w:rsidRPr="00F55FEA">
        <w:t xml:space="preserve">) developed by Dr. Tom Baranowski of the Baylor College of Medicine. An </w:t>
      </w:r>
      <w:hyperlink r:id="rId9" w:history="1">
        <w:r w:rsidRPr="00F55FEA">
          <w:rPr>
            <w:rStyle w:val="Hyperlink"/>
            <w:color w:val="auto"/>
            <w:u w:val="none"/>
          </w:rPr>
          <w:t>External Working Group</w:t>
        </w:r>
      </w:hyperlink>
      <w:r w:rsidRPr="00F55FEA">
        <w:t xml:space="preserve"> provided advice about the needs and interests of potential users.</w:t>
      </w:r>
    </w:p>
    <w:p w14:paraId="12A4AF36" w14:textId="4C335CF9" w:rsidR="007973C8" w:rsidRPr="00F55FEA" w:rsidRDefault="00CD723F" w:rsidP="00585E93">
      <w:pPr>
        <w:pStyle w:val="BodyText"/>
        <w:rPr>
          <w:rFonts w:eastAsia="Times New Roman"/>
        </w:rPr>
      </w:pPr>
      <w:r>
        <w:rPr>
          <w:rFonts w:eastAsia="Times New Roman"/>
        </w:rPr>
        <w:t xml:space="preserve">The </w:t>
      </w:r>
      <w:r w:rsidR="00B72531" w:rsidRPr="00F55FEA">
        <w:rPr>
          <w:rFonts w:eastAsia="Times New Roman"/>
        </w:rPr>
        <w:t xml:space="preserve">ASA24 </w:t>
      </w:r>
      <w:r>
        <w:rPr>
          <w:rFonts w:eastAsia="Times New Roman"/>
        </w:rPr>
        <w:t xml:space="preserve">system </w:t>
      </w:r>
      <w:r w:rsidR="00B72531" w:rsidRPr="00F55FEA">
        <w:rPr>
          <w:rFonts w:eastAsia="Times New Roman"/>
        </w:rPr>
        <w:t xml:space="preserve">consists of a </w:t>
      </w:r>
      <w:hyperlink r:id="rId10" w:history="1">
        <w:r w:rsidR="00B72531" w:rsidRPr="00F55FEA">
          <w:rPr>
            <w:rStyle w:val="Hyperlink"/>
            <w:rFonts w:eastAsia="Times New Roman"/>
            <w:color w:val="auto"/>
            <w:u w:val="none"/>
          </w:rPr>
          <w:t xml:space="preserve">Respondent </w:t>
        </w:r>
        <w:r w:rsidR="00A941D8">
          <w:rPr>
            <w:rStyle w:val="Hyperlink"/>
            <w:rFonts w:eastAsia="Times New Roman"/>
            <w:color w:val="auto"/>
            <w:u w:val="none"/>
          </w:rPr>
          <w:t>W</w:t>
        </w:r>
        <w:r w:rsidR="00B72531" w:rsidRPr="00F55FEA">
          <w:rPr>
            <w:rStyle w:val="Hyperlink"/>
            <w:rFonts w:eastAsia="Times New Roman"/>
            <w:color w:val="auto"/>
            <w:u w:val="none"/>
          </w:rPr>
          <w:t>ebsite</w:t>
        </w:r>
      </w:hyperlink>
      <w:r w:rsidR="00B72531" w:rsidRPr="00F55FEA">
        <w:rPr>
          <w:rFonts w:eastAsia="Times New Roman"/>
        </w:rPr>
        <w:t xml:space="preserve"> used to collect recall </w:t>
      </w:r>
      <w:r w:rsidR="00711510" w:rsidRPr="00F55FEA">
        <w:rPr>
          <w:rFonts w:eastAsia="Times New Roman"/>
        </w:rPr>
        <w:t xml:space="preserve">and food record </w:t>
      </w:r>
      <w:r w:rsidR="00B72531" w:rsidRPr="00F55FEA">
        <w:rPr>
          <w:rFonts w:eastAsia="Times New Roman"/>
        </w:rPr>
        <w:t xml:space="preserve">data and a </w:t>
      </w:r>
      <w:hyperlink r:id="rId11" w:history="1">
        <w:r w:rsidR="00B72531" w:rsidRPr="00F55FEA">
          <w:rPr>
            <w:rStyle w:val="Hyperlink"/>
            <w:rFonts w:eastAsia="Times New Roman"/>
            <w:color w:val="auto"/>
            <w:u w:val="none"/>
          </w:rPr>
          <w:t xml:space="preserve">Researcher </w:t>
        </w:r>
        <w:r w:rsidR="00A941D8">
          <w:rPr>
            <w:rStyle w:val="Hyperlink"/>
            <w:rFonts w:eastAsia="Times New Roman"/>
            <w:color w:val="auto"/>
            <w:u w:val="none"/>
          </w:rPr>
          <w:t>W</w:t>
        </w:r>
        <w:r w:rsidR="00711510" w:rsidRPr="00F55FEA">
          <w:rPr>
            <w:rStyle w:val="Hyperlink"/>
            <w:rFonts w:eastAsia="Times New Roman"/>
            <w:color w:val="auto"/>
            <w:u w:val="none"/>
          </w:rPr>
          <w:t>ebsite</w:t>
        </w:r>
      </w:hyperlink>
      <w:r w:rsidR="00B72531" w:rsidRPr="00F55FEA">
        <w:rPr>
          <w:rFonts w:eastAsia="Times New Roman"/>
        </w:rPr>
        <w:t xml:space="preserve"> used to manage study logistics and obtain data analyses. T</w:t>
      </w:r>
      <w:r w:rsidR="00711510" w:rsidRPr="00F55FEA">
        <w:rPr>
          <w:rFonts w:eastAsia="Times New Roman"/>
        </w:rPr>
        <w:t xml:space="preserve">he </w:t>
      </w:r>
      <w:r w:rsidR="00711510" w:rsidRPr="00D71042">
        <w:rPr>
          <w:rStyle w:val="Strong"/>
          <w:rFonts w:eastAsia="Times New Roman"/>
          <w:b w:val="0"/>
        </w:rPr>
        <w:t>ASA24-201</w:t>
      </w:r>
      <w:r w:rsidR="005C36A5">
        <w:rPr>
          <w:rStyle w:val="Strong"/>
          <w:rFonts w:eastAsia="Times New Roman"/>
          <w:b w:val="0"/>
        </w:rPr>
        <w:t>8</w:t>
      </w:r>
      <w:r w:rsidR="00711510" w:rsidRPr="00F55FEA">
        <w:rPr>
          <w:rFonts w:eastAsia="Times New Roman"/>
        </w:rPr>
        <w:t xml:space="preserve"> Respondent </w:t>
      </w:r>
      <w:r w:rsidR="00A941D8">
        <w:rPr>
          <w:rFonts w:eastAsia="Times New Roman"/>
        </w:rPr>
        <w:t>W</w:t>
      </w:r>
      <w:r w:rsidR="00711510" w:rsidRPr="00F55FEA">
        <w:rPr>
          <w:rFonts w:eastAsia="Times New Roman"/>
        </w:rPr>
        <w:t>ebsite is compatible with mobile devices and is available in</w:t>
      </w:r>
      <w:r w:rsidR="00485825">
        <w:rPr>
          <w:rFonts w:eastAsia="Times New Roman"/>
        </w:rPr>
        <w:t xml:space="preserve"> English and Spanish</w:t>
      </w:r>
      <w:r w:rsidR="00B72531" w:rsidRPr="00F55FEA">
        <w:rPr>
          <w:rFonts w:eastAsia="Times New Roman"/>
        </w:rPr>
        <w:t xml:space="preserve">. </w:t>
      </w:r>
      <w:r w:rsidR="005C36A5">
        <w:rPr>
          <w:rFonts w:eastAsia="Times New Roman"/>
        </w:rPr>
        <w:t>L</w:t>
      </w:r>
      <w:r w:rsidR="00711510" w:rsidRPr="00F55FEA">
        <w:rPr>
          <w:rFonts w:eastAsia="Times New Roman"/>
        </w:rPr>
        <w:t xml:space="preserve">ike </w:t>
      </w:r>
      <w:r w:rsidR="005C36A5">
        <w:rPr>
          <w:rFonts w:eastAsia="Times New Roman"/>
        </w:rPr>
        <w:t xml:space="preserve">the </w:t>
      </w:r>
      <w:r w:rsidR="00711510" w:rsidRPr="00F55FEA">
        <w:rPr>
          <w:rFonts w:eastAsia="Times New Roman"/>
        </w:rPr>
        <w:t xml:space="preserve">previous </w:t>
      </w:r>
      <w:r w:rsidR="005C36A5">
        <w:rPr>
          <w:rFonts w:eastAsia="Times New Roman"/>
        </w:rPr>
        <w:t xml:space="preserve">2016 </w:t>
      </w:r>
      <w:r w:rsidR="00711510" w:rsidRPr="00F55FEA">
        <w:rPr>
          <w:rFonts w:eastAsia="Times New Roman"/>
        </w:rPr>
        <w:t>version, the 201</w:t>
      </w:r>
      <w:r w:rsidR="005C36A5">
        <w:rPr>
          <w:rFonts w:eastAsia="Times New Roman"/>
        </w:rPr>
        <w:t>8</w:t>
      </w:r>
      <w:r w:rsidR="00711510" w:rsidRPr="00F55FEA">
        <w:rPr>
          <w:rFonts w:eastAsia="Times New Roman"/>
        </w:rPr>
        <w:t xml:space="preserve"> version allows for the collection of both recalls and food records. </w:t>
      </w:r>
      <w:r w:rsidR="00B72531" w:rsidRPr="00F55FEA">
        <w:rPr>
          <w:rFonts w:eastAsia="Times New Roman"/>
        </w:rPr>
        <w:t>This document provides an overview of the methodology and main features of the ASA24</w:t>
      </w:r>
      <w:r w:rsidR="00711510" w:rsidRPr="00F55FEA">
        <w:rPr>
          <w:rFonts w:eastAsia="Times New Roman"/>
        </w:rPr>
        <w:t>-201</w:t>
      </w:r>
      <w:r w:rsidR="00A941D8">
        <w:rPr>
          <w:rFonts w:eastAsia="Times New Roman"/>
        </w:rPr>
        <w:t>6</w:t>
      </w:r>
      <w:r w:rsidR="00B72531" w:rsidRPr="00F55FEA">
        <w:rPr>
          <w:rFonts w:eastAsia="Times New Roman"/>
        </w:rPr>
        <w:t xml:space="preserve"> Respondent </w:t>
      </w:r>
      <w:r w:rsidR="00A941D8">
        <w:rPr>
          <w:rFonts w:eastAsia="Times New Roman"/>
        </w:rPr>
        <w:t>W</w:t>
      </w:r>
      <w:r w:rsidR="00711510" w:rsidRPr="00F55FEA">
        <w:rPr>
          <w:rFonts w:eastAsia="Times New Roman"/>
        </w:rPr>
        <w:t>eb</w:t>
      </w:r>
      <w:r w:rsidR="00B72531" w:rsidRPr="00F55FEA">
        <w:rPr>
          <w:rFonts w:eastAsia="Times New Roman"/>
        </w:rPr>
        <w:t xml:space="preserve">site, as well as information on security of the data collected and protections to the confidentiality of the participants of studies that make use of </w:t>
      </w:r>
      <w:r>
        <w:rPr>
          <w:rFonts w:eastAsia="Times New Roman"/>
        </w:rPr>
        <w:t xml:space="preserve">the </w:t>
      </w:r>
      <w:r w:rsidR="00B72531" w:rsidRPr="00F55FEA">
        <w:rPr>
          <w:rFonts w:eastAsia="Times New Roman"/>
        </w:rPr>
        <w:t>ASA24</w:t>
      </w:r>
      <w:r>
        <w:rPr>
          <w:rFonts w:eastAsia="Times New Roman"/>
        </w:rPr>
        <w:t xml:space="preserve"> system</w:t>
      </w:r>
      <w:r w:rsidR="00B72531" w:rsidRPr="00F55FEA">
        <w:rPr>
          <w:rFonts w:eastAsia="Times New Roman"/>
        </w:rPr>
        <w:t>.</w:t>
      </w:r>
      <w:r w:rsidR="00492787" w:rsidRPr="00F55FEA">
        <w:rPr>
          <w:rFonts w:eastAsia="Times New Roman"/>
        </w:rPr>
        <w:t xml:space="preserve"> Images of the main Respondent site screens are also included.</w:t>
      </w:r>
    </w:p>
    <w:p w14:paraId="52E259E5" w14:textId="77777777" w:rsidR="00B72531" w:rsidRPr="00F55FEA" w:rsidRDefault="00492787" w:rsidP="00781164">
      <w:pPr>
        <w:pStyle w:val="Heading1"/>
      </w:pPr>
      <w:r w:rsidRPr="00F55FEA">
        <w:t xml:space="preserve">ASA24 </w:t>
      </w:r>
      <w:r w:rsidR="00B72531" w:rsidRPr="00F55FEA">
        <w:t>Respondent Website Methodology</w:t>
      </w:r>
    </w:p>
    <w:p w14:paraId="509F97A2" w14:textId="77777777" w:rsidR="00B72531" w:rsidRPr="00F55FEA" w:rsidRDefault="00B72531" w:rsidP="00585E93">
      <w:pPr>
        <w:pStyle w:val="BodyText"/>
      </w:pPr>
      <w:r w:rsidRPr="00F55FEA">
        <w:t xml:space="preserve">Respondents </w:t>
      </w:r>
      <w:r w:rsidR="00711510" w:rsidRPr="00F55FEA">
        <w:t xml:space="preserve">asked to complete a recall </w:t>
      </w:r>
      <w:r w:rsidRPr="00F55FEA">
        <w:t xml:space="preserve">are guided through the 24-hour recall interview using a modified version of the </w:t>
      </w:r>
      <w:r w:rsidR="00FE2A9F">
        <w:t>United States Department of Agriculture’s (</w:t>
      </w:r>
      <w:r w:rsidRPr="00F55FEA">
        <w:t>USDA</w:t>
      </w:r>
      <w:r w:rsidR="00FE2A9F">
        <w:t>)</w:t>
      </w:r>
      <w:r w:rsidRPr="00F55FEA">
        <w:t xml:space="preserve"> </w:t>
      </w:r>
      <w:hyperlink r:id="rId12" w:history="1">
        <w:r w:rsidRPr="00F55FEA">
          <w:t>Automated Multiple-Pass Method (AMPM)</w:t>
        </w:r>
      </w:hyperlink>
      <w:r w:rsidRPr="00F55FEA">
        <w:t>. The steps in the interview process include:</w:t>
      </w:r>
    </w:p>
    <w:p w14:paraId="1588FBD8"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"meal"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Meal-based Quick List</w:t>
      </w:r>
    </w:p>
    <w:p w14:paraId="433246B7"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"mealgap"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Meal Gap Review</w:t>
      </w:r>
    </w:p>
    <w:p w14:paraId="7ACFABA0"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"detail"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Detail Pass</w:t>
      </w:r>
    </w:p>
    <w:p w14:paraId="0BF80E77"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"final"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Final Review</w:t>
      </w:r>
    </w:p>
    <w:p w14:paraId="464FB017" w14:textId="77777777" w:rsidR="00711510" w:rsidRPr="001E2806" w:rsidRDefault="001E2806" w:rsidP="00711510">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"forgotten" </w:instrText>
      </w:r>
      <w:r>
        <w:rPr>
          <w:rFonts w:asciiTheme="majorHAnsi" w:eastAsia="Times New Roman" w:hAnsiTheme="majorHAnsi" w:cs="Times New Roman"/>
        </w:rPr>
        <w:fldChar w:fldCharType="separate"/>
      </w:r>
      <w:r w:rsidR="00711510" w:rsidRPr="001E2806">
        <w:rPr>
          <w:rStyle w:val="Hyperlink"/>
          <w:rFonts w:asciiTheme="majorHAnsi" w:eastAsia="Times New Roman" w:hAnsiTheme="majorHAnsi" w:cs="Times New Roman"/>
        </w:rPr>
        <w:t>Forgotten Foods</w:t>
      </w:r>
    </w:p>
    <w:p w14:paraId="7A23396B" w14:textId="77777777" w:rsidR="00B72531" w:rsidRPr="001E2806" w:rsidRDefault="001E2806">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"last"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Last Chance</w:t>
      </w:r>
    </w:p>
    <w:p w14:paraId="345EC09F" w14:textId="77777777" w:rsidR="00B72531" w:rsidRPr="001E2806" w:rsidRDefault="001E2806" w:rsidP="00B72531">
      <w:pPr>
        <w:numPr>
          <w:ilvl w:val="0"/>
          <w:numId w:val="1"/>
        </w:numPr>
        <w:spacing w:before="100" w:beforeAutospacing="1" w:after="100" w:afterAutospacing="1"/>
        <w:rPr>
          <w:rStyle w:val="Hyperlink"/>
          <w:rFonts w:asciiTheme="majorHAnsi" w:eastAsia="Times New Roman" w:hAnsiTheme="majorHAnsi" w:cs="Times New Roman"/>
        </w:rPr>
      </w:pPr>
      <w:r>
        <w:rPr>
          <w:rFonts w:asciiTheme="majorHAnsi" w:eastAsia="Times New Roman" w:hAnsiTheme="majorHAnsi" w:cs="Times New Roman"/>
        </w:rPr>
        <w:fldChar w:fldCharType="end"/>
      </w:r>
      <w:r>
        <w:rPr>
          <w:rFonts w:asciiTheme="majorHAnsi" w:eastAsia="Times New Roman" w:hAnsiTheme="majorHAnsi" w:cs="Times New Roman"/>
        </w:rPr>
        <w:fldChar w:fldCharType="begin"/>
      </w:r>
      <w:r>
        <w:rPr>
          <w:rFonts w:asciiTheme="majorHAnsi" w:eastAsia="Times New Roman" w:hAnsiTheme="majorHAnsi" w:cs="Times New Roman"/>
        </w:rPr>
        <w:instrText xml:space="preserve"> HYPERLINK "http://riskfactor.cancer.gov/tools/instruments/asa24/respondent/methodology.html" \l "usual" </w:instrText>
      </w:r>
      <w:r>
        <w:rPr>
          <w:rFonts w:asciiTheme="majorHAnsi" w:eastAsia="Times New Roman" w:hAnsiTheme="majorHAnsi" w:cs="Times New Roman"/>
        </w:rPr>
        <w:fldChar w:fldCharType="separate"/>
      </w:r>
      <w:r w:rsidR="00B72531" w:rsidRPr="001E2806">
        <w:rPr>
          <w:rStyle w:val="Hyperlink"/>
          <w:rFonts w:asciiTheme="majorHAnsi" w:eastAsia="Times New Roman" w:hAnsiTheme="majorHAnsi" w:cs="Times New Roman"/>
        </w:rPr>
        <w:t>Usual Intake Question</w:t>
      </w:r>
    </w:p>
    <w:p w14:paraId="32106C41" w14:textId="21929A54" w:rsidR="00FE2A9F" w:rsidRDefault="001E2806" w:rsidP="00711510">
      <w:pPr>
        <w:spacing w:before="100" w:beforeAutospacing="1" w:after="100" w:afterAutospacing="1"/>
        <w:rPr>
          <w:rFonts w:asciiTheme="majorHAnsi" w:eastAsia="Times New Roman" w:hAnsiTheme="majorHAnsi" w:cs="Times New Roman"/>
        </w:rPr>
      </w:pPr>
      <w:r>
        <w:rPr>
          <w:rFonts w:asciiTheme="majorHAnsi" w:eastAsia="Times New Roman" w:hAnsiTheme="majorHAnsi" w:cs="Times New Roman"/>
        </w:rPr>
        <w:fldChar w:fldCharType="end"/>
      </w:r>
      <w:r w:rsidR="00485825">
        <w:rPr>
          <w:rFonts w:asciiTheme="majorHAnsi" w:eastAsia="Times New Roman" w:hAnsiTheme="majorHAnsi" w:cs="Times New Roman"/>
        </w:rPr>
        <w:t xml:space="preserve"> </w:t>
      </w:r>
      <w:r w:rsidR="00711510" w:rsidRPr="00485825">
        <w:rPr>
          <w:rFonts w:asciiTheme="majorHAnsi" w:eastAsia="Times New Roman" w:hAnsiTheme="majorHAnsi" w:cs="Times New Roman"/>
        </w:rPr>
        <w:t xml:space="preserve">A </w:t>
      </w:r>
      <w:r w:rsidR="00C15298">
        <w:rPr>
          <w:rFonts w:asciiTheme="majorHAnsi" w:eastAsia="Times New Roman" w:hAnsiTheme="majorHAnsi" w:cs="Times New Roman"/>
        </w:rPr>
        <w:t xml:space="preserve">food </w:t>
      </w:r>
      <w:r w:rsidR="00711510" w:rsidRPr="00485825">
        <w:rPr>
          <w:rFonts w:asciiTheme="majorHAnsi" w:eastAsia="Times New Roman" w:hAnsiTheme="majorHAnsi" w:cs="Times New Roman"/>
        </w:rPr>
        <w:t>record can consist of one or more days as determined by the Researcher during study setup.  Respondents are instructed to compl</w:t>
      </w:r>
      <w:r w:rsidR="00485825">
        <w:rPr>
          <w:rFonts w:asciiTheme="majorHAnsi" w:eastAsia="Times New Roman" w:hAnsiTheme="majorHAnsi" w:cs="Times New Roman"/>
        </w:rPr>
        <w:t>ete a food record in real time.</w:t>
      </w:r>
      <w:r w:rsidR="00711510" w:rsidRPr="00485825">
        <w:rPr>
          <w:rFonts w:asciiTheme="majorHAnsi" w:eastAsia="Times New Roman" w:hAnsiTheme="majorHAnsi" w:cs="Times New Roman"/>
        </w:rPr>
        <w:t xml:space="preserve"> The methodology for food records was adapted from the ASA24methodology for 24</w:t>
      </w:r>
      <w:r w:rsidR="00485825">
        <w:rPr>
          <w:rFonts w:asciiTheme="majorHAnsi" w:eastAsia="Times New Roman" w:hAnsiTheme="majorHAnsi" w:cs="Times New Roman"/>
        </w:rPr>
        <w:t xml:space="preserve">-hour recalls described above. </w:t>
      </w:r>
    </w:p>
    <w:p w14:paraId="3B15C0F2" w14:textId="77777777" w:rsidR="00711510" w:rsidRPr="00485825" w:rsidRDefault="00711510" w:rsidP="00711510">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The steps in the food record process are:</w:t>
      </w:r>
    </w:p>
    <w:p w14:paraId="4C97DAC1" w14:textId="77777777" w:rsidR="00711510" w:rsidRPr="00485825" w:rsidRDefault="000E3006" w:rsidP="00711510">
      <w:pPr>
        <w:numPr>
          <w:ilvl w:val="0"/>
          <w:numId w:val="13"/>
        </w:numPr>
        <w:spacing w:before="100" w:beforeAutospacing="1" w:after="100" w:afterAutospacing="1"/>
        <w:rPr>
          <w:rFonts w:asciiTheme="majorHAnsi" w:eastAsia="Times New Roman" w:hAnsiTheme="majorHAnsi" w:cs="Times New Roman"/>
        </w:rPr>
      </w:pPr>
      <w:hyperlink r:id="rId13" w:anchor="meal" w:history="1">
        <w:r w:rsidR="00711510" w:rsidRPr="00485825">
          <w:rPr>
            <w:rFonts w:asciiTheme="majorHAnsi" w:eastAsia="Times New Roman" w:hAnsiTheme="majorHAnsi" w:cs="Times New Roman"/>
            <w:color w:val="0000FF"/>
            <w:u w:val="single"/>
          </w:rPr>
          <w:t>Meal-based Quick List</w:t>
        </w:r>
      </w:hyperlink>
    </w:p>
    <w:p w14:paraId="78B00BF4" w14:textId="77777777" w:rsidR="00A941D8" w:rsidRDefault="000E3006" w:rsidP="00A941D8">
      <w:pPr>
        <w:numPr>
          <w:ilvl w:val="0"/>
          <w:numId w:val="13"/>
        </w:numPr>
        <w:spacing w:before="100" w:beforeAutospacing="1" w:after="100" w:afterAutospacing="1"/>
        <w:rPr>
          <w:rFonts w:asciiTheme="majorHAnsi" w:eastAsia="Times New Roman" w:hAnsiTheme="majorHAnsi" w:cs="Times New Roman"/>
        </w:rPr>
      </w:pPr>
      <w:hyperlink r:id="rId14" w:anchor="detail" w:history="1">
        <w:r w:rsidR="00711510" w:rsidRPr="00485825">
          <w:rPr>
            <w:rFonts w:asciiTheme="majorHAnsi" w:eastAsia="Times New Roman" w:hAnsiTheme="majorHAnsi" w:cs="Times New Roman"/>
            <w:color w:val="0000FF"/>
            <w:u w:val="single"/>
          </w:rPr>
          <w:t>Detail Pass</w:t>
        </w:r>
      </w:hyperlink>
    </w:p>
    <w:p w14:paraId="14C79AC9" w14:textId="77777777" w:rsidR="00A941D8" w:rsidRPr="008B32A4" w:rsidRDefault="000E3006" w:rsidP="00A941D8">
      <w:pPr>
        <w:numPr>
          <w:ilvl w:val="0"/>
          <w:numId w:val="13"/>
        </w:numPr>
        <w:spacing w:before="100" w:beforeAutospacing="1" w:after="100" w:afterAutospacing="1"/>
        <w:rPr>
          <w:rFonts w:asciiTheme="majorHAnsi" w:eastAsia="Times New Roman" w:hAnsiTheme="majorHAnsi" w:cs="Times New Roman"/>
        </w:rPr>
      </w:pPr>
      <w:hyperlink r:id="rId15" w:anchor="mealgap" w:history="1">
        <w:r w:rsidR="00A941D8" w:rsidRPr="008B32A4">
          <w:rPr>
            <w:rFonts w:asciiTheme="majorHAnsi" w:eastAsia="Times New Roman" w:hAnsiTheme="majorHAnsi" w:cs="Times New Roman"/>
            <w:color w:val="0000FF"/>
            <w:u w:val="single"/>
          </w:rPr>
          <w:t>Meal Gap Review</w:t>
        </w:r>
      </w:hyperlink>
    </w:p>
    <w:p w14:paraId="4889D055" w14:textId="77777777" w:rsidR="00711510" w:rsidRPr="00485825" w:rsidRDefault="00711510" w:rsidP="00485825">
      <w:pPr>
        <w:spacing w:before="100" w:beforeAutospacing="1" w:after="100" w:afterAutospacing="1"/>
        <w:ind w:left="360"/>
        <w:rPr>
          <w:rFonts w:asciiTheme="majorHAnsi" w:eastAsia="Times New Roman" w:hAnsiTheme="majorHAnsi" w:cs="Times New Roman"/>
        </w:rPr>
      </w:pPr>
      <w:r w:rsidRPr="00485825">
        <w:rPr>
          <w:rFonts w:asciiTheme="majorHAnsi" w:eastAsia="Times New Roman" w:hAnsiTheme="majorHAnsi" w:cs="Times New Roman"/>
        </w:rPr>
        <w:lastRenderedPageBreak/>
        <w:t>Finished reporting for the day?  If no, go back to step 1.  If yes, go to step 4.</w:t>
      </w:r>
    </w:p>
    <w:p w14:paraId="6A0A395F" w14:textId="77777777" w:rsidR="00711510" w:rsidRPr="00485825" w:rsidRDefault="000E3006" w:rsidP="00711510">
      <w:pPr>
        <w:numPr>
          <w:ilvl w:val="0"/>
          <w:numId w:val="13"/>
        </w:numPr>
        <w:spacing w:before="100" w:beforeAutospacing="1" w:after="100" w:afterAutospacing="1"/>
        <w:rPr>
          <w:rFonts w:asciiTheme="majorHAnsi" w:eastAsia="Times New Roman" w:hAnsiTheme="majorHAnsi" w:cs="Times New Roman"/>
        </w:rPr>
      </w:pPr>
      <w:hyperlink r:id="rId16" w:anchor="final" w:history="1">
        <w:r w:rsidR="00711510" w:rsidRPr="00485825">
          <w:rPr>
            <w:rFonts w:asciiTheme="majorHAnsi" w:eastAsia="Times New Roman" w:hAnsiTheme="majorHAnsi" w:cs="Times New Roman"/>
            <w:color w:val="0000FF"/>
            <w:u w:val="single"/>
          </w:rPr>
          <w:t>Final Review</w:t>
        </w:r>
      </w:hyperlink>
    </w:p>
    <w:p w14:paraId="2547F251" w14:textId="77777777" w:rsidR="00711510" w:rsidRPr="00485825" w:rsidRDefault="000E3006" w:rsidP="00711510">
      <w:pPr>
        <w:numPr>
          <w:ilvl w:val="0"/>
          <w:numId w:val="13"/>
        </w:numPr>
        <w:spacing w:before="100" w:beforeAutospacing="1" w:after="100" w:afterAutospacing="1"/>
        <w:rPr>
          <w:rFonts w:asciiTheme="majorHAnsi" w:eastAsia="Times New Roman" w:hAnsiTheme="majorHAnsi" w:cs="Times New Roman"/>
        </w:rPr>
      </w:pPr>
      <w:hyperlink r:id="rId17" w:anchor="forgotten" w:history="1">
        <w:r w:rsidR="00711510" w:rsidRPr="00485825">
          <w:rPr>
            <w:rFonts w:asciiTheme="majorHAnsi" w:eastAsia="Times New Roman" w:hAnsiTheme="majorHAnsi" w:cs="Times New Roman"/>
            <w:color w:val="0000FF"/>
            <w:u w:val="single"/>
          </w:rPr>
          <w:t>Forgotten Foods</w:t>
        </w:r>
      </w:hyperlink>
    </w:p>
    <w:p w14:paraId="5427CA1E" w14:textId="77777777" w:rsidR="00711510" w:rsidRPr="00485825" w:rsidRDefault="000E3006" w:rsidP="00711510">
      <w:pPr>
        <w:numPr>
          <w:ilvl w:val="0"/>
          <w:numId w:val="13"/>
        </w:numPr>
        <w:spacing w:before="100" w:beforeAutospacing="1" w:after="100" w:afterAutospacing="1"/>
        <w:rPr>
          <w:rFonts w:asciiTheme="majorHAnsi" w:eastAsia="Times New Roman" w:hAnsiTheme="majorHAnsi" w:cs="Times New Roman"/>
        </w:rPr>
      </w:pPr>
      <w:hyperlink r:id="rId18" w:anchor="last" w:history="1">
        <w:r w:rsidR="00711510" w:rsidRPr="00485825">
          <w:rPr>
            <w:rFonts w:asciiTheme="majorHAnsi" w:eastAsia="Times New Roman" w:hAnsiTheme="majorHAnsi" w:cs="Times New Roman"/>
            <w:color w:val="0000FF"/>
            <w:u w:val="single"/>
          </w:rPr>
          <w:t>Last Chance</w:t>
        </w:r>
      </w:hyperlink>
    </w:p>
    <w:p w14:paraId="1581BFB0" w14:textId="77777777" w:rsidR="00711510" w:rsidRPr="00485825" w:rsidRDefault="000E3006" w:rsidP="00711510">
      <w:pPr>
        <w:numPr>
          <w:ilvl w:val="0"/>
          <w:numId w:val="13"/>
        </w:numPr>
        <w:spacing w:before="100" w:beforeAutospacing="1" w:after="100" w:afterAutospacing="1"/>
        <w:rPr>
          <w:rFonts w:asciiTheme="majorHAnsi" w:eastAsia="Times New Roman" w:hAnsiTheme="majorHAnsi" w:cs="Times New Roman"/>
        </w:rPr>
      </w:pPr>
      <w:hyperlink r:id="rId19" w:anchor="usual" w:history="1">
        <w:r w:rsidR="00711510" w:rsidRPr="00485825">
          <w:rPr>
            <w:rFonts w:asciiTheme="majorHAnsi" w:eastAsia="Times New Roman" w:hAnsiTheme="majorHAnsi" w:cs="Times New Roman"/>
            <w:color w:val="0000FF"/>
            <w:u w:val="single"/>
          </w:rPr>
          <w:t>Usual Intake Question</w:t>
        </w:r>
      </w:hyperlink>
    </w:p>
    <w:p w14:paraId="2DA36DCC" w14:textId="77777777" w:rsidR="00B72531" w:rsidRPr="0079596F" w:rsidRDefault="00585E93" w:rsidP="0079596F">
      <w:pPr>
        <w:pStyle w:val="Heading2"/>
      </w:pPr>
      <w:r w:rsidRPr="0079596F">
        <w:t>Meal-based Quick List</w:t>
      </w:r>
    </w:p>
    <w:p w14:paraId="71B8010D" w14:textId="77777777" w:rsidR="00485825" w:rsidRPr="00485825" w:rsidRDefault="00485825" w:rsidP="00485825">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During the first pass of a 24-hour recall, Respondents are asked to provide a list of the foods and drinks consumed at each meal occasion during the previous 24-hour recall period from midnight-to-midnight or</w:t>
      </w:r>
      <w:r>
        <w:rPr>
          <w:rFonts w:asciiTheme="majorHAnsi" w:eastAsia="Times New Roman" w:hAnsiTheme="majorHAnsi" w:cs="Times New Roman"/>
        </w:rPr>
        <w:t xml:space="preserve"> </w:t>
      </w:r>
      <w:r w:rsidRPr="00485825">
        <w:rPr>
          <w:rFonts w:asciiTheme="majorHAnsi" w:eastAsia="Times New Roman" w:hAnsiTheme="majorHAnsi" w:cs="Times New Roman"/>
        </w:rPr>
        <w:t>for the past 24-hours (starting at the time of the first login).</w:t>
      </w:r>
    </w:p>
    <w:p w14:paraId="3B0D36AD" w14:textId="77777777" w:rsidR="00485825" w:rsidRPr="00485825" w:rsidRDefault="00485825" w:rsidP="00485825">
      <w:pPr>
        <w:spacing w:before="100" w:beforeAutospacing="1" w:after="100" w:afterAutospacing="1"/>
        <w:rPr>
          <w:rFonts w:asciiTheme="majorHAnsi" w:eastAsia="Times New Roman" w:hAnsiTheme="majorHAnsi" w:cs="Times New Roman"/>
        </w:rPr>
      </w:pPr>
      <w:r>
        <w:rPr>
          <w:rFonts w:asciiTheme="majorHAnsi" w:eastAsia="Times New Roman" w:hAnsiTheme="majorHAnsi" w:cs="Times New Roman"/>
        </w:rPr>
        <w:t>For</w:t>
      </w:r>
      <w:r w:rsidRPr="00485825">
        <w:rPr>
          <w:rFonts w:asciiTheme="majorHAnsi" w:eastAsia="Times New Roman" w:hAnsiTheme="majorHAnsi" w:cs="Times New Roman"/>
        </w:rPr>
        <w:t xml:space="preserve"> food records, Respondents first provide a list of foods and drinks for the meal they are reporting. After reporting all foods and drinks for that meal, they immediately proceed to the Detail Pass.</w:t>
      </w:r>
    </w:p>
    <w:p w14:paraId="04F75482" w14:textId="77777777" w:rsidR="00485825" w:rsidRPr="00485825" w:rsidRDefault="00485825" w:rsidP="00485825">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Respondents are required to search to find foods, drinks</w:t>
      </w:r>
      <w:r w:rsidR="00160CBA">
        <w:rPr>
          <w:rFonts w:asciiTheme="majorHAnsi" w:eastAsia="Times New Roman" w:hAnsiTheme="majorHAnsi" w:cs="Times New Roman"/>
        </w:rPr>
        <w:t>,</w:t>
      </w:r>
      <w:r w:rsidRPr="00485825">
        <w:rPr>
          <w:rFonts w:asciiTheme="majorHAnsi" w:eastAsia="Times New Roman" w:hAnsiTheme="majorHAnsi" w:cs="Times New Roman"/>
        </w:rPr>
        <w:t xml:space="preserve"> or supplements; search results can then be filtered if desired. Foods, drinks</w:t>
      </w:r>
      <w:r w:rsidR="00160CBA">
        <w:rPr>
          <w:rFonts w:asciiTheme="majorHAnsi" w:eastAsia="Times New Roman" w:hAnsiTheme="majorHAnsi" w:cs="Times New Roman"/>
        </w:rPr>
        <w:t>,</w:t>
      </w:r>
      <w:r w:rsidRPr="00485825">
        <w:rPr>
          <w:rFonts w:asciiTheme="majorHAnsi" w:eastAsia="Times New Roman" w:hAnsiTheme="majorHAnsi" w:cs="Times New Roman"/>
        </w:rPr>
        <w:t xml:space="preserve"> and supplements reported at each meal are recorded in the My Foods and Drinks panel within the instrument. In addition to selecting an eating occasion (e.g., breakfast, lunch, snack), Respondents are also prompted to specify the time of the occasion before reporting the foods and drinks consumed. The Researcher can opt to collect additional contextual information including where meals were eaten, television and computer use during meals, and whether the meal was eaten alone or with others by turning on the corresponding module during study setup.</w:t>
      </w:r>
    </w:p>
    <w:p w14:paraId="1F71A18C" w14:textId="77777777" w:rsidR="00B72531" w:rsidRPr="00F55FEA" w:rsidRDefault="00585E93" w:rsidP="0079596F">
      <w:pPr>
        <w:pStyle w:val="Heading2"/>
      </w:pPr>
      <w:r w:rsidRPr="00CB2B5E">
        <w:rPr>
          <w:rStyle w:val="Heading2Char"/>
          <w:b/>
        </w:rPr>
        <w:t>Meal</w:t>
      </w:r>
      <w:r w:rsidRPr="00F55FEA">
        <w:t xml:space="preserve"> Gap Review</w:t>
      </w:r>
    </w:p>
    <w:p w14:paraId="654F32AD" w14:textId="77777777" w:rsidR="00485825" w:rsidRDefault="00D824F7" w:rsidP="00485825">
      <w:pPr>
        <w:spacing w:before="100" w:beforeAutospacing="1" w:after="100" w:afterAutospacing="1"/>
        <w:rPr>
          <w:rFonts w:asciiTheme="majorHAnsi" w:eastAsia="Times New Roman" w:hAnsiTheme="majorHAnsi" w:cs="Times New Roman"/>
        </w:rPr>
      </w:pPr>
      <w:r>
        <w:rPr>
          <w:rFonts w:asciiTheme="majorHAnsi" w:eastAsia="Times New Roman" w:hAnsiTheme="majorHAnsi" w:cs="Times New Roman"/>
        </w:rPr>
        <w:t>For 24-hour recalls, o</w:t>
      </w:r>
      <w:r w:rsidR="00485825" w:rsidRPr="00485825">
        <w:rPr>
          <w:rFonts w:asciiTheme="majorHAnsi" w:eastAsia="Times New Roman" w:hAnsiTheme="majorHAnsi" w:cs="Times New Roman"/>
        </w:rPr>
        <w:t>nce Respondents finish creating their My Foods and Drinks list at the end of the Quick List step, they are asked if they consumed anything during any 3-hour gaps between eating occasions.</w:t>
      </w:r>
      <w:r w:rsidRPr="00D824F7">
        <w:rPr>
          <w:rFonts w:asciiTheme="majorHAnsi" w:eastAsia="Times New Roman" w:hAnsiTheme="majorHAnsi" w:cs="Times New Roman"/>
        </w:rPr>
        <w:t xml:space="preserve"> </w:t>
      </w:r>
      <w:r>
        <w:rPr>
          <w:rFonts w:asciiTheme="majorHAnsi" w:eastAsia="Times New Roman" w:hAnsiTheme="majorHAnsi" w:cs="Times New Roman"/>
        </w:rPr>
        <w:t>For a food record, the Meal Gap Review follows the Detail Pass.</w:t>
      </w:r>
      <w:r w:rsidR="00485825" w:rsidRPr="00485825">
        <w:rPr>
          <w:rFonts w:asciiTheme="majorHAnsi" w:eastAsia="Times New Roman" w:hAnsiTheme="majorHAnsi" w:cs="Times New Roman"/>
        </w:rPr>
        <w:t xml:space="preserve"> For the midnight-to-midnight version of </w:t>
      </w:r>
      <w:r>
        <w:rPr>
          <w:rFonts w:asciiTheme="majorHAnsi" w:eastAsia="Times New Roman" w:hAnsiTheme="majorHAnsi" w:cs="Times New Roman"/>
        </w:rPr>
        <w:t>a</w:t>
      </w:r>
      <w:r w:rsidR="00485825" w:rsidRPr="00485825">
        <w:rPr>
          <w:rFonts w:asciiTheme="majorHAnsi" w:eastAsia="Times New Roman" w:hAnsiTheme="majorHAnsi" w:cs="Times New Roman"/>
        </w:rPr>
        <w:t xml:space="preserve"> 24-hour recall and for food records, Respondents are also asked if they consumed anything between midnight and the first eating occasion, and between the last eating occasion and midnight regardless of the length of time gaps. During a Gap Review, Respondents have the opportunity to return to the Quick List pass to add a meal(s) and the foods, drinks, and supplements consumed at them.</w:t>
      </w:r>
    </w:p>
    <w:p w14:paraId="2A58073E" w14:textId="77777777" w:rsidR="00B72531" w:rsidRPr="00F55FEA" w:rsidRDefault="00B72531" w:rsidP="0079596F">
      <w:pPr>
        <w:pStyle w:val="Heading2"/>
      </w:pPr>
      <w:r w:rsidRPr="00F55FEA">
        <w:t>Detail Pass</w:t>
      </w:r>
    </w:p>
    <w:p w14:paraId="0E1A9AB0" w14:textId="77777777" w:rsidR="00485825" w:rsidRPr="00CD723F" w:rsidRDefault="00485825" w:rsidP="00485825">
      <w:pPr>
        <w:spacing w:before="100" w:beforeAutospacing="1" w:after="100" w:afterAutospacing="1"/>
        <w:rPr>
          <w:rFonts w:asciiTheme="majorHAnsi" w:eastAsia="Times New Roman" w:hAnsiTheme="majorHAnsi" w:cs="Times New Roman"/>
        </w:rPr>
      </w:pPr>
      <w:r w:rsidRPr="00CD723F">
        <w:rPr>
          <w:rFonts w:asciiTheme="majorHAnsi" w:eastAsia="Times New Roman" w:hAnsiTheme="majorHAnsi" w:cs="Times New Roman"/>
        </w:rPr>
        <w:t>Respondents are asked for details about the foods and drinks they recorded during the Quick List, including form (e.g., raw), preparation methods (e.g., grilled or roasted), the amount eaten, and any additions (e.g., sugar, coffee cream, salad dressing). An option is available to probe Respondents about the source (e.g. grocery store, farmer's market, etc.) of where reported foods and drinks were obtained.</w:t>
      </w:r>
    </w:p>
    <w:p w14:paraId="2DACF827" w14:textId="77777777" w:rsidR="00B72531" w:rsidRPr="00F55FEA" w:rsidRDefault="00B72531" w:rsidP="0079596F">
      <w:pPr>
        <w:pStyle w:val="Heading2"/>
      </w:pPr>
      <w:r w:rsidRPr="00F55FEA">
        <w:lastRenderedPageBreak/>
        <w:t>Final Review</w:t>
      </w:r>
    </w:p>
    <w:p w14:paraId="5FB8BC12" w14:textId="77777777" w:rsidR="00B72531" w:rsidRPr="00F55FEA" w:rsidRDefault="00B72531" w:rsidP="00585E93">
      <w:pPr>
        <w:pStyle w:val="BodyText"/>
      </w:pPr>
      <w:r w:rsidRPr="00F55FEA">
        <w:t>Respondents are prompted to review all of the foods and drinks reported for the intake day, and make edits and add meals</w:t>
      </w:r>
      <w:r w:rsidR="00831B23" w:rsidRPr="00F55FEA">
        <w:t>,</w:t>
      </w:r>
      <w:r w:rsidRPr="00F55FEA">
        <w:t xml:space="preserve"> foods</w:t>
      </w:r>
      <w:r w:rsidR="00D031B1">
        <w:t>,</w:t>
      </w:r>
      <w:r w:rsidRPr="00F55FEA">
        <w:t xml:space="preserve"> drinks</w:t>
      </w:r>
      <w:r w:rsidR="00D031B1">
        <w:t>, and supplements</w:t>
      </w:r>
      <w:r w:rsidR="00AC6FCC" w:rsidRPr="00F55FEA">
        <w:t xml:space="preserve"> as necessary</w:t>
      </w:r>
      <w:r w:rsidRPr="00F55FEA">
        <w:t xml:space="preserve">. </w:t>
      </w:r>
    </w:p>
    <w:p w14:paraId="4D13D874" w14:textId="77777777" w:rsidR="00112334" w:rsidRPr="00F55FEA" w:rsidRDefault="00112334" w:rsidP="0079596F">
      <w:pPr>
        <w:pStyle w:val="Heading2"/>
      </w:pPr>
      <w:r w:rsidRPr="00F55FEA">
        <w:t>Forgotten Foods</w:t>
      </w:r>
    </w:p>
    <w:p w14:paraId="0D63B2C9" w14:textId="77777777" w:rsidR="00F55FEA" w:rsidRPr="00485825" w:rsidRDefault="00F55FEA" w:rsidP="00F55FEA">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Following the Final Review, Respondents are asked questions probing about the consumption of commonly forgotten foods and drinks (e.g., snack foods, fruits, vegetables, cheese, water, coffee, tea)</w:t>
      </w:r>
      <w:r w:rsidR="001E2806">
        <w:rPr>
          <w:rFonts w:asciiTheme="majorHAnsi" w:eastAsia="Times New Roman" w:hAnsiTheme="majorHAnsi" w:cs="Times New Roman"/>
        </w:rPr>
        <w:t xml:space="preserve"> and supplements</w:t>
      </w:r>
      <w:r w:rsidRPr="00485825">
        <w:rPr>
          <w:rFonts w:asciiTheme="majorHAnsi" w:eastAsia="Times New Roman" w:hAnsiTheme="majorHAnsi" w:cs="Times New Roman"/>
        </w:rPr>
        <w:t>. Respondents must select either "Yes" or "No" for each food or drink probed. For any "Yes" response, the Respondent will be returned to the Quick List to add the forgotten item(s).</w:t>
      </w:r>
    </w:p>
    <w:p w14:paraId="44CE77ED" w14:textId="77777777" w:rsidR="00B72531" w:rsidRPr="006C38EE" w:rsidRDefault="00B72531" w:rsidP="0079596F">
      <w:pPr>
        <w:pStyle w:val="Heading2"/>
      </w:pPr>
      <w:r w:rsidRPr="006C38EE">
        <w:t>Last Chance</w:t>
      </w:r>
    </w:p>
    <w:p w14:paraId="3FDB8DB3" w14:textId="77777777" w:rsidR="00F55FEA" w:rsidRPr="00485825" w:rsidRDefault="00F55FEA" w:rsidP="00F55FEA">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 xml:space="preserve">After Forgotten Foods, Respondents are asked if they have reported all that they consumed. </w:t>
      </w:r>
      <w:r w:rsidR="00D031B1">
        <w:rPr>
          <w:rFonts w:asciiTheme="majorHAnsi" w:eastAsia="Times New Roman" w:hAnsiTheme="majorHAnsi" w:cs="Times New Roman"/>
        </w:rPr>
        <w:t>If Respondents want to add more foods, drinks</w:t>
      </w:r>
      <w:r w:rsidR="00160CBA">
        <w:rPr>
          <w:rFonts w:asciiTheme="majorHAnsi" w:eastAsia="Times New Roman" w:hAnsiTheme="majorHAnsi" w:cs="Times New Roman"/>
        </w:rPr>
        <w:t>,</w:t>
      </w:r>
      <w:r w:rsidR="00D031B1">
        <w:rPr>
          <w:rFonts w:asciiTheme="majorHAnsi" w:eastAsia="Times New Roman" w:hAnsiTheme="majorHAnsi" w:cs="Times New Roman"/>
        </w:rPr>
        <w:t xml:space="preserve"> or supplements, they</w:t>
      </w:r>
      <w:r w:rsidRPr="00485825">
        <w:rPr>
          <w:rFonts w:asciiTheme="majorHAnsi" w:eastAsia="Times New Roman" w:hAnsiTheme="majorHAnsi" w:cs="Times New Roman"/>
        </w:rPr>
        <w:t xml:space="preserve"> will be returned to the Quick List to add more items; otherwise, they will move forward to the Usual Intake Question.</w:t>
      </w:r>
    </w:p>
    <w:p w14:paraId="64D7D442" w14:textId="77777777" w:rsidR="00B72531" w:rsidRPr="00646B9D" w:rsidRDefault="00B72531" w:rsidP="0079596F">
      <w:pPr>
        <w:pStyle w:val="Heading2"/>
      </w:pPr>
      <w:r w:rsidRPr="00646B9D">
        <w:t>Usual Intake Question</w:t>
      </w:r>
    </w:p>
    <w:p w14:paraId="46F6C5B6" w14:textId="77777777" w:rsidR="00B72531" w:rsidRPr="00646B9D" w:rsidRDefault="00B72531" w:rsidP="00585E93">
      <w:pPr>
        <w:pStyle w:val="BodyText"/>
      </w:pPr>
      <w:r w:rsidRPr="00646B9D">
        <w:t>The final question asks: Was the amount of food that you ate yesterday more than usual, usual, or less than usual? This question probes whether this was a typical day's intake.</w:t>
      </w:r>
    </w:p>
    <w:p w14:paraId="040BB9E0" w14:textId="77777777" w:rsidR="00B72531" w:rsidRPr="00FC0757" w:rsidRDefault="00B72531" w:rsidP="0079596F">
      <w:pPr>
        <w:pStyle w:val="Heading2"/>
      </w:pPr>
      <w:r w:rsidRPr="00D17812">
        <w:t xml:space="preserve">Supplement Module </w:t>
      </w:r>
    </w:p>
    <w:p w14:paraId="50E68949" w14:textId="77777777" w:rsidR="00F55FEA" w:rsidRDefault="00F55FEA" w:rsidP="00F55FEA">
      <w:pPr>
        <w:spacing w:before="100" w:beforeAutospacing="1" w:after="100" w:afterAutospacing="1"/>
        <w:rPr>
          <w:rFonts w:asciiTheme="majorHAnsi" w:eastAsia="Times New Roman" w:hAnsiTheme="majorHAnsi" w:cs="Times New Roman"/>
        </w:rPr>
      </w:pPr>
      <w:r w:rsidRPr="00485825">
        <w:rPr>
          <w:rFonts w:asciiTheme="majorHAnsi" w:eastAsia="Times New Roman" w:hAnsiTheme="majorHAnsi" w:cs="Times New Roman"/>
        </w:rPr>
        <w:t>Supplements include vitamins, minerals, and other supplements including prescription supplements. The supplements included are based on those reported in the National Health and Nutrition Examination Survey (NHANES). This module can be turned on or off by the Researcher during study setup. Respondents are able to report supplements similar to how they report foods</w:t>
      </w:r>
      <w:r w:rsidR="00D031B1">
        <w:rPr>
          <w:rFonts w:asciiTheme="majorHAnsi" w:eastAsia="Times New Roman" w:hAnsiTheme="majorHAnsi" w:cs="Times New Roman"/>
        </w:rPr>
        <w:t xml:space="preserve"> and drinks</w:t>
      </w:r>
      <w:r w:rsidRPr="00485825">
        <w:rPr>
          <w:rFonts w:asciiTheme="majorHAnsi" w:eastAsia="Times New Roman" w:hAnsiTheme="majorHAnsi" w:cs="Times New Roman"/>
        </w:rPr>
        <w:t xml:space="preserve"> throughout the day as part of a meal regardless </w:t>
      </w:r>
      <w:r w:rsidR="00D031B1">
        <w:rPr>
          <w:rFonts w:asciiTheme="majorHAnsi" w:eastAsia="Times New Roman" w:hAnsiTheme="majorHAnsi" w:cs="Times New Roman"/>
        </w:rPr>
        <w:t xml:space="preserve">of whether </w:t>
      </w:r>
      <w:r w:rsidRPr="00485825">
        <w:rPr>
          <w:rFonts w:asciiTheme="majorHAnsi" w:eastAsia="Times New Roman" w:hAnsiTheme="majorHAnsi" w:cs="Times New Roman"/>
        </w:rPr>
        <w:t xml:space="preserve">the module is turned on or off. However, if </w:t>
      </w:r>
      <w:r w:rsidR="001E2806">
        <w:rPr>
          <w:rFonts w:asciiTheme="majorHAnsi" w:eastAsia="Times New Roman" w:hAnsiTheme="majorHAnsi" w:cs="Times New Roman"/>
        </w:rPr>
        <w:t xml:space="preserve">the module is </w:t>
      </w:r>
      <w:r w:rsidRPr="00485825">
        <w:rPr>
          <w:rFonts w:asciiTheme="majorHAnsi" w:eastAsia="Times New Roman" w:hAnsiTheme="majorHAnsi" w:cs="Times New Roman"/>
        </w:rPr>
        <w:t>turned on, Respondents are cued in several places to include supplement</w:t>
      </w:r>
      <w:r w:rsidR="00D031B1">
        <w:rPr>
          <w:rFonts w:asciiTheme="majorHAnsi" w:eastAsia="Times New Roman" w:hAnsiTheme="majorHAnsi" w:cs="Times New Roman"/>
        </w:rPr>
        <w:t xml:space="preserve"> intakes</w:t>
      </w:r>
      <w:r w:rsidRPr="00485825">
        <w:rPr>
          <w:rFonts w:asciiTheme="majorHAnsi" w:eastAsia="Times New Roman" w:hAnsiTheme="majorHAnsi" w:cs="Times New Roman"/>
        </w:rPr>
        <w:t xml:space="preserve"> in their report. </w:t>
      </w:r>
    </w:p>
    <w:p w14:paraId="372D973A" w14:textId="77777777" w:rsidR="0027614F" w:rsidRPr="0027614F" w:rsidRDefault="0027614F" w:rsidP="0080269C">
      <w:pPr>
        <w:pStyle w:val="Heading2"/>
        <w:spacing w:after="360"/>
      </w:pPr>
      <w:r w:rsidRPr="0027614F">
        <w:t xml:space="preserve">Respondent Nutrition Report </w:t>
      </w:r>
    </w:p>
    <w:p w14:paraId="6B0F6083" w14:textId="31C0540D" w:rsidR="0027614F" w:rsidRPr="005C36A5" w:rsidRDefault="0027614F" w:rsidP="0027614F">
      <w:pPr>
        <w:pStyle w:val="NormalWeb"/>
        <w:shd w:val="clear" w:color="auto" w:fill="FFFFFF"/>
        <w:spacing w:before="0" w:beforeAutospacing="0" w:after="240" w:afterAutospacing="0"/>
        <w:rPr>
          <w:rFonts w:asciiTheme="majorHAnsi" w:hAnsiTheme="majorHAnsi" w:cstheme="majorHAnsi"/>
          <w:color w:val="333333"/>
          <w:sz w:val="24"/>
          <w:szCs w:val="24"/>
        </w:rPr>
      </w:pPr>
      <w:r w:rsidRPr="0027614F">
        <w:rPr>
          <w:rFonts w:asciiTheme="majorHAnsi" w:hAnsiTheme="majorHAnsi"/>
          <w:color w:val="333333"/>
          <w:sz w:val="24"/>
          <w:szCs w:val="24"/>
        </w:rPr>
        <w:t xml:space="preserve">For 24-hour recalls </w:t>
      </w:r>
      <w:r w:rsidR="005C36A5">
        <w:rPr>
          <w:rFonts w:asciiTheme="majorHAnsi" w:hAnsiTheme="majorHAnsi"/>
          <w:color w:val="333333"/>
          <w:sz w:val="24"/>
          <w:szCs w:val="24"/>
        </w:rPr>
        <w:t xml:space="preserve">or food records </w:t>
      </w:r>
      <w:r w:rsidRPr="0027614F">
        <w:rPr>
          <w:rFonts w:asciiTheme="majorHAnsi" w:hAnsiTheme="majorHAnsi"/>
          <w:color w:val="333333"/>
          <w:sz w:val="24"/>
          <w:szCs w:val="24"/>
        </w:rPr>
        <w:t>collected using ASA24-201</w:t>
      </w:r>
      <w:r w:rsidR="005C36A5">
        <w:rPr>
          <w:rFonts w:asciiTheme="majorHAnsi" w:hAnsiTheme="majorHAnsi"/>
          <w:color w:val="333333"/>
          <w:sz w:val="24"/>
          <w:szCs w:val="24"/>
        </w:rPr>
        <w:t>8</w:t>
      </w:r>
      <w:r w:rsidRPr="0027614F">
        <w:rPr>
          <w:rFonts w:asciiTheme="majorHAnsi" w:hAnsiTheme="majorHAnsi"/>
          <w:color w:val="333333"/>
          <w:sz w:val="24"/>
          <w:szCs w:val="24"/>
        </w:rPr>
        <w:t xml:space="preserve"> system, Researchers can select an optional module to allow Respondents to receive a Respondent Nutrition Report. This Report provides information to Respondents regarding how their intake on a single reporting day compares to U.S. dietary guidance and nutrient requirements. </w:t>
      </w:r>
      <w:r w:rsidR="005C36A5" w:rsidRPr="005C36A5">
        <w:rPr>
          <w:rFonts w:ascii="Verdana" w:hAnsi="Verdana"/>
          <w:color w:val="333333"/>
          <w:sz w:val="19"/>
          <w:szCs w:val="19"/>
          <w:shd w:val="clear" w:color="auto" w:fill="FFFFFF"/>
        </w:rPr>
        <w:t xml:space="preserve"> </w:t>
      </w:r>
      <w:r w:rsidR="005C36A5" w:rsidRPr="005C36A5">
        <w:rPr>
          <w:rFonts w:asciiTheme="majorHAnsi" w:hAnsiTheme="majorHAnsi" w:cstheme="majorHAnsi"/>
          <w:color w:val="333333"/>
          <w:sz w:val="24"/>
          <w:szCs w:val="24"/>
          <w:shd w:val="clear" w:color="auto" w:fill="FFFFFF"/>
        </w:rPr>
        <w:t>Note that at this time, the Respondent Nutrition Report is available in English and Spanish for 24-hour recalls; however, for food records, it is only currently available in English. </w:t>
      </w:r>
    </w:p>
    <w:p w14:paraId="47F676A1" w14:textId="2DCB3978" w:rsidR="0027614F" w:rsidRPr="0027614F" w:rsidRDefault="0027614F" w:rsidP="0027614F">
      <w:pPr>
        <w:pStyle w:val="NormalWeb"/>
        <w:shd w:val="clear" w:color="auto" w:fill="FFFFFF"/>
        <w:spacing w:before="0" w:beforeAutospacing="0" w:after="240" w:afterAutospacing="0"/>
        <w:rPr>
          <w:rFonts w:asciiTheme="majorHAnsi" w:hAnsiTheme="majorHAnsi"/>
          <w:color w:val="333333"/>
          <w:sz w:val="24"/>
          <w:szCs w:val="24"/>
        </w:rPr>
      </w:pPr>
      <w:r w:rsidRPr="0027614F">
        <w:rPr>
          <w:rFonts w:asciiTheme="majorHAnsi" w:hAnsiTheme="majorHAnsi"/>
          <w:color w:val="333333"/>
          <w:sz w:val="24"/>
          <w:szCs w:val="24"/>
        </w:rPr>
        <w:t xml:space="preserve">When this optional module is selected by Researchers, after they have completed their 24-hour recall, Respondents will be asked if they would like to obtain a Nutrition Report about that day. </w:t>
      </w:r>
      <w:r w:rsidRPr="0027614F">
        <w:rPr>
          <w:rFonts w:asciiTheme="majorHAnsi" w:hAnsiTheme="majorHAnsi"/>
          <w:color w:val="333333"/>
          <w:sz w:val="24"/>
          <w:szCs w:val="24"/>
        </w:rPr>
        <w:lastRenderedPageBreak/>
        <w:t>Respondents who answer affirmatively are asked their age and sex, and if female, if they are pregnant or lactating. The ASA24 system then presents Respondents with a Nutrition Report. The Respondent Nutrition Report provided to Respondents is also available to Researchers on the Researcher website.</w:t>
      </w:r>
      <w:r w:rsidR="005C36A5">
        <w:rPr>
          <w:rFonts w:asciiTheme="majorHAnsi" w:hAnsiTheme="majorHAnsi"/>
          <w:color w:val="333333"/>
          <w:sz w:val="24"/>
          <w:szCs w:val="24"/>
        </w:rPr>
        <w:t xml:space="preserve"> Note that the Respondent Nutrition Report will only be generated if the Respondent provides their age, sex, and pregnancy/lactation status.</w:t>
      </w:r>
    </w:p>
    <w:p w14:paraId="0AD0BDC3" w14:textId="77777777" w:rsidR="00B72531" w:rsidRPr="00F55FEA" w:rsidRDefault="00492787" w:rsidP="00781164">
      <w:pPr>
        <w:pStyle w:val="Heading1"/>
      </w:pPr>
      <w:r w:rsidRPr="00DE19E5">
        <w:t>ASA24</w:t>
      </w:r>
      <w:r w:rsidRPr="006C38EE">
        <w:t xml:space="preserve"> </w:t>
      </w:r>
      <w:r w:rsidR="00B72531" w:rsidRPr="00FC0757">
        <w:t>Respondent Web</w:t>
      </w:r>
      <w:r w:rsidR="00F55FEA" w:rsidRPr="00F55FEA">
        <w:t>s</w:t>
      </w:r>
      <w:r w:rsidR="00B72531" w:rsidRPr="00F55FEA">
        <w:t>ite Features</w:t>
      </w:r>
    </w:p>
    <w:p w14:paraId="050CA308" w14:textId="1C867D6C" w:rsidR="0027614F" w:rsidRPr="002A420C" w:rsidRDefault="0027614F" w:rsidP="0027614F">
      <w:pPr>
        <w:pStyle w:val="NormalWeb"/>
        <w:shd w:val="clear" w:color="auto" w:fill="FFFFFF"/>
        <w:spacing w:before="0" w:beforeAutospacing="0" w:after="240" w:afterAutospacing="0"/>
        <w:rPr>
          <w:rFonts w:asciiTheme="majorHAnsi" w:hAnsiTheme="majorHAnsi"/>
          <w:color w:val="333333"/>
          <w:sz w:val="24"/>
          <w:szCs w:val="24"/>
        </w:rPr>
      </w:pPr>
      <w:r w:rsidRPr="002A420C">
        <w:rPr>
          <w:rFonts w:asciiTheme="majorHAnsi" w:hAnsiTheme="majorHAnsi"/>
          <w:color w:val="333333"/>
          <w:sz w:val="24"/>
          <w:szCs w:val="24"/>
        </w:rPr>
        <w:t>The ASA24 Respondent Website guides the participant through the completion of either a 24-hour recall for the previous day or a single or multiple day food record. The ASA24 instrument:</w:t>
      </w:r>
    </w:p>
    <w:p w14:paraId="50D71E6E" w14:textId="43D16159"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Flows as per modified United States Department of Agriculture (USDA)</w:t>
      </w:r>
      <w:r w:rsidRPr="002A420C">
        <w:rPr>
          <w:rStyle w:val="apple-converted-space"/>
          <w:rFonts w:asciiTheme="majorHAnsi" w:hAnsiTheme="majorHAnsi"/>
          <w:color w:val="333333"/>
        </w:rPr>
        <w:t> </w:t>
      </w:r>
      <w:hyperlink r:id="rId20" w:history="1">
        <w:r w:rsidRPr="002A420C">
          <w:rPr>
            <w:rStyle w:val="Hyperlink"/>
            <w:rFonts w:asciiTheme="majorHAnsi" w:hAnsiTheme="majorHAnsi"/>
            <w:color w:val="64766B"/>
          </w:rPr>
          <w:t>Automated Multiple-Pass Method (AMPM)</w:t>
        </w:r>
      </w:hyperlink>
      <w:r w:rsidRPr="002A420C">
        <w:rPr>
          <w:rStyle w:val="apple-converted-space"/>
          <w:rFonts w:asciiTheme="majorHAnsi" w:hAnsiTheme="majorHAnsi"/>
          <w:color w:val="333333"/>
        </w:rPr>
        <w:t> </w:t>
      </w:r>
      <w:r w:rsidRPr="002A420C">
        <w:rPr>
          <w:rFonts w:asciiTheme="majorHAnsi" w:hAnsiTheme="majorHAnsi"/>
          <w:color w:val="333333"/>
        </w:rPr>
        <w:t>for 24-hour recalls, which was further adapted for collection of food records;</w:t>
      </w:r>
    </w:p>
    <w:p w14:paraId="67B74876" w14:textId="77777777"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Allows researchers to specify timing of recall, either from midnight-to-midnight or for the past 24-hours from time of login;</w:t>
      </w:r>
    </w:p>
    <w:p w14:paraId="7D63C349" w14:textId="77777777"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Asks Respondents to report eating occasion and time of consumption;</w:t>
      </w:r>
    </w:p>
    <w:p w14:paraId="7747C15A" w14:textId="77777777" w:rsidR="0027614F" w:rsidRPr="002A420C" w:rsidRDefault="0027614F" w:rsidP="002A420C">
      <w:pPr>
        <w:pStyle w:val="ListParagraph"/>
        <w:numPr>
          <w:ilvl w:val="0"/>
          <w:numId w:val="16"/>
        </w:numPr>
        <w:shd w:val="clear" w:color="auto" w:fill="FFFFFF"/>
        <w:spacing w:after="120"/>
        <w:rPr>
          <w:rFonts w:asciiTheme="majorHAnsi" w:hAnsiTheme="majorHAnsi"/>
          <w:color w:val="333333"/>
        </w:rPr>
      </w:pPr>
      <w:r w:rsidRPr="002A420C">
        <w:rPr>
          <w:rFonts w:asciiTheme="majorHAnsi" w:hAnsiTheme="majorHAnsi"/>
          <w:color w:val="333333"/>
        </w:rPr>
        <w:t>Enables Respondents to search to find foods, drinks and supplements;</w:t>
      </w:r>
    </w:p>
    <w:p w14:paraId="16D18106" w14:textId="77777777" w:rsidR="0027614F" w:rsidRPr="002A420C" w:rsidRDefault="0027614F" w:rsidP="002A420C">
      <w:pPr>
        <w:pStyle w:val="ListParagraph"/>
        <w:numPr>
          <w:ilvl w:val="1"/>
          <w:numId w:val="16"/>
        </w:numPr>
        <w:shd w:val="clear" w:color="auto" w:fill="FFFFFF"/>
        <w:spacing w:after="120"/>
        <w:rPr>
          <w:rFonts w:asciiTheme="majorHAnsi" w:hAnsiTheme="majorHAnsi"/>
          <w:color w:val="333333"/>
        </w:rPr>
      </w:pPr>
      <w:r w:rsidRPr="002A420C">
        <w:rPr>
          <w:rFonts w:asciiTheme="majorHAnsi" w:hAnsiTheme="majorHAnsi"/>
          <w:color w:val="333333"/>
        </w:rPr>
        <w:t>Presents Respondents with search results for misspelled and related food items;</w:t>
      </w:r>
    </w:p>
    <w:p w14:paraId="7E4F893C" w14:textId="2AFA4058" w:rsidR="0027614F" w:rsidRPr="002A420C" w:rsidRDefault="0027614F" w:rsidP="002A420C">
      <w:pPr>
        <w:pStyle w:val="ListParagraph"/>
        <w:numPr>
          <w:ilvl w:val="1"/>
          <w:numId w:val="16"/>
        </w:numPr>
        <w:shd w:val="clear" w:color="auto" w:fill="FFFFFF"/>
        <w:spacing w:after="120"/>
        <w:rPr>
          <w:rFonts w:asciiTheme="majorHAnsi" w:hAnsiTheme="majorHAnsi"/>
          <w:color w:val="333333"/>
        </w:rPr>
      </w:pPr>
      <w:r w:rsidRPr="002A420C">
        <w:rPr>
          <w:rFonts w:asciiTheme="majorHAnsi" w:hAnsiTheme="majorHAnsi"/>
          <w:color w:val="333333"/>
        </w:rPr>
        <w:t>ASA24-201</w:t>
      </w:r>
      <w:r w:rsidR="005C36A5">
        <w:rPr>
          <w:rFonts w:asciiTheme="majorHAnsi" w:hAnsiTheme="majorHAnsi"/>
          <w:color w:val="333333"/>
        </w:rPr>
        <w:t>8</w:t>
      </w:r>
      <w:r w:rsidRPr="002A420C">
        <w:rPr>
          <w:rFonts w:asciiTheme="majorHAnsi" w:hAnsiTheme="majorHAnsi"/>
          <w:color w:val="333333"/>
        </w:rPr>
        <w:t xml:space="preserve"> includes &gt;1</w:t>
      </w:r>
      <w:r w:rsidR="005C36A5">
        <w:rPr>
          <w:rFonts w:asciiTheme="majorHAnsi" w:hAnsiTheme="majorHAnsi"/>
          <w:color w:val="333333"/>
        </w:rPr>
        <w:t>3</w:t>
      </w:r>
      <w:r w:rsidRPr="002A420C">
        <w:rPr>
          <w:rFonts w:asciiTheme="majorHAnsi" w:hAnsiTheme="majorHAnsi"/>
          <w:color w:val="333333"/>
        </w:rPr>
        <w:t>,</w:t>
      </w:r>
      <w:r w:rsidR="005C36A5">
        <w:rPr>
          <w:rFonts w:asciiTheme="majorHAnsi" w:hAnsiTheme="majorHAnsi"/>
          <w:color w:val="333333"/>
        </w:rPr>
        <w:t>67</w:t>
      </w:r>
      <w:r w:rsidRPr="002A420C">
        <w:rPr>
          <w:rFonts w:asciiTheme="majorHAnsi" w:hAnsiTheme="majorHAnsi"/>
          <w:color w:val="333333"/>
        </w:rPr>
        <w:t>0 misspellings and synonyms;</w:t>
      </w:r>
    </w:p>
    <w:p w14:paraId="4C50BCA1"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Asks detailed questions about food form, preparation, portion size, and additions using an extensive branching question database with greater than 13 million pathways so that food codes can be assigned;</w:t>
      </w:r>
    </w:p>
    <w:p w14:paraId="506153D0"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Uses images to assist Respondents in reporting portion size;</w:t>
      </w:r>
    </w:p>
    <w:p w14:paraId="40D93EE9"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Allows the Respondent to add or modify food, drink, and supplement choices at multiple points during the recall or record;</w:t>
      </w:r>
    </w:p>
    <w:p w14:paraId="694F3D25"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Includes optional modules to query where meals were eaten, whether meals were eaten alone or with others, television and computer use during meals, and source of foods consumed;</w:t>
      </w:r>
    </w:p>
    <w:p w14:paraId="1FE99FBE"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Includes an optional module to query dietary supplement intake;</w:t>
      </w:r>
    </w:p>
    <w:p w14:paraId="60A1F3B2" w14:textId="5D834529" w:rsidR="0027614F"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Is available in English and Spanish;</w:t>
      </w:r>
    </w:p>
    <w:p w14:paraId="629F9222" w14:textId="5876A50B" w:rsidR="00D05814" w:rsidRPr="002A420C" w:rsidRDefault="00D05814" w:rsidP="00D05814">
      <w:pPr>
        <w:pStyle w:val="ListParagraph"/>
        <w:numPr>
          <w:ilvl w:val="0"/>
          <w:numId w:val="18"/>
        </w:numPr>
        <w:shd w:val="clear" w:color="auto" w:fill="FFFFFF"/>
        <w:spacing w:after="120"/>
        <w:rPr>
          <w:rFonts w:asciiTheme="majorHAnsi" w:hAnsiTheme="majorHAnsi"/>
          <w:color w:val="333333"/>
        </w:rPr>
      </w:pPr>
      <w:r>
        <w:rPr>
          <w:rFonts w:asciiTheme="majorHAnsi" w:hAnsiTheme="majorHAnsi"/>
          <w:color w:val="333333"/>
        </w:rPr>
        <w:t xml:space="preserve">Offers an optional Respondent </w:t>
      </w:r>
      <w:r w:rsidRPr="002A420C">
        <w:rPr>
          <w:rFonts w:asciiTheme="majorHAnsi" w:hAnsiTheme="majorHAnsi"/>
          <w:color w:val="333333"/>
        </w:rPr>
        <w:t>Nutrition Report that Researchers can choose to make available to Respondents. The Respondent Nutrition Report provide</w:t>
      </w:r>
      <w:r w:rsidR="00C15298">
        <w:rPr>
          <w:rFonts w:asciiTheme="majorHAnsi" w:hAnsiTheme="majorHAnsi"/>
          <w:color w:val="333333"/>
        </w:rPr>
        <w:t>s</w:t>
      </w:r>
      <w:r w:rsidRPr="002A420C">
        <w:rPr>
          <w:rFonts w:asciiTheme="majorHAnsi" w:hAnsiTheme="majorHAnsi"/>
          <w:color w:val="333333"/>
        </w:rPr>
        <w:t xml:space="preserve"> feedback on nutrient and food group intake in comparison with U.S. dietary guidance. This report is available </w:t>
      </w:r>
      <w:r>
        <w:rPr>
          <w:rFonts w:asciiTheme="majorHAnsi" w:hAnsiTheme="majorHAnsi"/>
          <w:color w:val="333333"/>
        </w:rPr>
        <w:t xml:space="preserve">in English or Spanish </w:t>
      </w:r>
      <w:r w:rsidRPr="002A420C">
        <w:rPr>
          <w:rFonts w:asciiTheme="majorHAnsi" w:hAnsiTheme="majorHAnsi"/>
          <w:color w:val="333333"/>
        </w:rPr>
        <w:t>for Respondents completing food recalls ASA24-201</w:t>
      </w:r>
      <w:r>
        <w:rPr>
          <w:rFonts w:asciiTheme="majorHAnsi" w:hAnsiTheme="majorHAnsi"/>
          <w:color w:val="333333"/>
        </w:rPr>
        <w:t>8, and English only for Respondents completing food records</w:t>
      </w:r>
      <w:r w:rsidRPr="002A420C">
        <w:rPr>
          <w:rFonts w:asciiTheme="majorHAnsi" w:hAnsiTheme="majorHAnsi"/>
          <w:color w:val="333333"/>
        </w:rPr>
        <w:t>.</w:t>
      </w:r>
      <w:r w:rsidRPr="002A420C">
        <w:rPr>
          <w:rStyle w:val="apple-converted-space"/>
          <w:rFonts w:asciiTheme="majorHAnsi" w:hAnsiTheme="majorHAnsi"/>
          <w:color w:val="333333"/>
        </w:rPr>
        <w:t> </w:t>
      </w:r>
    </w:p>
    <w:p w14:paraId="400ECBEE" w14:textId="77777777" w:rsidR="0027614F" w:rsidRPr="002A420C" w:rsidRDefault="0027614F" w:rsidP="002A420C">
      <w:pPr>
        <w:pStyle w:val="ListParagraph"/>
        <w:numPr>
          <w:ilvl w:val="0"/>
          <w:numId w:val="18"/>
        </w:numPr>
        <w:shd w:val="clear" w:color="auto" w:fill="FFFFFF"/>
        <w:spacing w:after="120"/>
        <w:rPr>
          <w:rFonts w:asciiTheme="majorHAnsi" w:hAnsiTheme="majorHAnsi"/>
          <w:color w:val="333333"/>
        </w:rPr>
      </w:pPr>
      <w:r w:rsidRPr="002A420C">
        <w:rPr>
          <w:rFonts w:asciiTheme="majorHAnsi" w:hAnsiTheme="majorHAnsi"/>
          <w:color w:val="333333"/>
        </w:rPr>
        <w:t>Is accessible by individuals using assistive technologies, such as screen readers.</w:t>
      </w:r>
    </w:p>
    <w:p w14:paraId="363F0C23" w14:textId="2B5502E4" w:rsidR="00D05814" w:rsidRDefault="00C15298" w:rsidP="002A420C">
      <w:pPr>
        <w:pStyle w:val="ListParagraph"/>
        <w:numPr>
          <w:ilvl w:val="0"/>
          <w:numId w:val="17"/>
        </w:numPr>
        <w:shd w:val="clear" w:color="auto" w:fill="FFFFFF"/>
        <w:spacing w:after="120"/>
        <w:rPr>
          <w:rFonts w:asciiTheme="majorHAnsi" w:hAnsiTheme="majorHAnsi"/>
          <w:color w:val="333333"/>
        </w:rPr>
      </w:pPr>
      <w:r>
        <w:rPr>
          <w:rFonts w:asciiTheme="majorHAnsi" w:hAnsiTheme="majorHAnsi"/>
          <w:color w:val="333333"/>
        </w:rPr>
        <w:t>Provides a means for</w:t>
      </w:r>
      <w:r w:rsidR="0000297A">
        <w:rPr>
          <w:rFonts w:asciiTheme="majorHAnsi" w:hAnsiTheme="majorHAnsi"/>
          <w:color w:val="333333"/>
        </w:rPr>
        <w:t xml:space="preserve"> </w:t>
      </w:r>
      <w:r w:rsidR="0027614F" w:rsidRPr="002A420C">
        <w:rPr>
          <w:rFonts w:asciiTheme="majorHAnsi" w:hAnsiTheme="majorHAnsi"/>
          <w:color w:val="333333"/>
        </w:rPr>
        <w:t>Respondent</w:t>
      </w:r>
      <w:r w:rsidR="00D05814">
        <w:rPr>
          <w:rFonts w:asciiTheme="majorHAnsi" w:hAnsiTheme="majorHAnsi"/>
          <w:color w:val="333333"/>
        </w:rPr>
        <w:t>s</w:t>
      </w:r>
      <w:r w:rsidR="0027614F" w:rsidRPr="002A420C">
        <w:rPr>
          <w:rFonts w:asciiTheme="majorHAnsi" w:hAnsiTheme="majorHAnsi"/>
          <w:color w:val="333333"/>
        </w:rPr>
        <w:t xml:space="preserve"> </w:t>
      </w:r>
      <w:r w:rsidR="00D05814">
        <w:rPr>
          <w:rFonts w:asciiTheme="majorHAnsi" w:hAnsiTheme="majorHAnsi"/>
          <w:color w:val="333333"/>
        </w:rPr>
        <w:t>to report, save, and modify recipes</w:t>
      </w:r>
      <w:r>
        <w:rPr>
          <w:rFonts w:asciiTheme="majorHAnsi" w:hAnsiTheme="majorHAnsi"/>
          <w:color w:val="333333"/>
        </w:rPr>
        <w:t>.</w:t>
      </w:r>
    </w:p>
    <w:p w14:paraId="1D41530C" w14:textId="77777777" w:rsidR="00B72531" w:rsidRPr="00FE2A9F" w:rsidRDefault="006E04DB" w:rsidP="00485825">
      <w:pPr>
        <w:pStyle w:val="BodyText"/>
        <w:rPr>
          <w:b/>
          <w:color w:val="548DD4" w:themeColor="text2" w:themeTint="99"/>
        </w:rPr>
      </w:pPr>
      <w:r w:rsidRPr="00FE2A9F">
        <w:rPr>
          <w:b/>
          <w:color w:val="548DD4" w:themeColor="text2" w:themeTint="99"/>
        </w:rPr>
        <w:t xml:space="preserve">Data </w:t>
      </w:r>
      <w:r w:rsidR="00B72531" w:rsidRPr="00FE2A9F">
        <w:rPr>
          <w:b/>
          <w:color w:val="548DD4" w:themeColor="text2" w:themeTint="99"/>
        </w:rPr>
        <w:t>Security and Protections to C</w:t>
      </w:r>
      <w:r w:rsidR="00AF7759">
        <w:rPr>
          <w:b/>
          <w:color w:val="548DD4" w:themeColor="text2" w:themeTint="99"/>
        </w:rPr>
        <w:t>onfidentiality of Participants U</w:t>
      </w:r>
      <w:r w:rsidR="00B72531" w:rsidRPr="00FE2A9F">
        <w:rPr>
          <w:b/>
          <w:color w:val="548DD4" w:themeColor="text2" w:themeTint="99"/>
        </w:rPr>
        <w:t xml:space="preserve">sing </w:t>
      </w:r>
      <w:r w:rsidR="00CD723F">
        <w:rPr>
          <w:b/>
          <w:color w:val="548DD4" w:themeColor="text2" w:themeTint="99"/>
        </w:rPr>
        <w:t xml:space="preserve">the </w:t>
      </w:r>
      <w:r w:rsidR="00B72531" w:rsidRPr="00FE2A9F">
        <w:rPr>
          <w:b/>
          <w:color w:val="548DD4" w:themeColor="text2" w:themeTint="99"/>
        </w:rPr>
        <w:t>ASA24</w:t>
      </w:r>
      <w:r w:rsidR="00CD723F">
        <w:rPr>
          <w:b/>
          <w:color w:val="548DD4" w:themeColor="text2" w:themeTint="99"/>
        </w:rPr>
        <w:t xml:space="preserve"> System</w:t>
      </w:r>
    </w:p>
    <w:p w14:paraId="6E1BC567" w14:textId="77777777" w:rsidR="00B72531" w:rsidRPr="00F55FEA" w:rsidRDefault="00B72531" w:rsidP="00585E93">
      <w:pPr>
        <w:pStyle w:val="BodyText"/>
      </w:pPr>
      <w:r w:rsidRPr="00F55FEA">
        <w:t xml:space="preserve">Researchers using </w:t>
      </w:r>
      <w:r w:rsidR="00CD723F">
        <w:t xml:space="preserve">the </w:t>
      </w:r>
      <w:r w:rsidRPr="00F55FEA">
        <w:t xml:space="preserve">ASA24 </w:t>
      </w:r>
      <w:r w:rsidR="00CD723F">
        <w:t xml:space="preserve">system </w:t>
      </w:r>
      <w:r w:rsidRPr="00F55FEA">
        <w:t xml:space="preserve">do not provide the </w:t>
      </w:r>
      <w:r w:rsidR="00FE2A9F">
        <w:t>NCI</w:t>
      </w:r>
      <w:r w:rsidRPr="00F55FEA">
        <w:t xml:space="preserve">, </w:t>
      </w:r>
      <w:proofErr w:type="spellStart"/>
      <w:r w:rsidRPr="00F55FEA">
        <w:t>Westat</w:t>
      </w:r>
      <w:proofErr w:type="spellEnd"/>
      <w:r w:rsidRPr="00F55FEA">
        <w:t>, or the ASA24 system with any identifying data for participants of their studies. Rather, researchers specify a</w:t>
      </w:r>
      <w:r w:rsidR="00F55FEA">
        <w:t xml:space="preserve"> unique numeric</w:t>
      </w:r>
      <w:r w:rsidRPr="00F55FEA">
        <w:t xml:space="preserve"> identifier for each </w:t>
      </w:r>
      <w:r w:rsidR="00F55FEA">
        <w:t>R</w:t>
      </w:r>
      <w:r w:rsidRPr="00F55FEA">
        <w:t xml:space="preserve">espondent and download system-generated usernames and encrypted passwords that they provide to </w:t>
      </w:r>
      <w:r w:rsidR="00F55FEA">
        <w:t>R</w:t>
      </w:r>
      <w:r w:rsidRPr="00F55FEA">
        <w:t xml:space="preserve">espondents so that they may access the application. </w:t>
      </w:r>
    </w:p>
    <w:p w14:paraId="3A70FCA6" w14:textId="77777777" w:rsidR="00B72531" w:rsidRPr="00F55FEA" w:rsidRDefault="00CD723F" w:rsidP="00585E93">
      <w:pPr>
        <w:pStyle w:val="BodyText"/>
      </w:pPr>
      <w:r>
        <w:lastRenderedPageBreak/>
        <w:t xml:space="preserve">The </w:t>
      </w:r>
      <w:r w:rsidR="00B72531" w:rsidRPr="00646B9D">
        <w:t xml:space="preserve">ASA24 </w:t>
      </w:r>
      <w:r>
        <w:t xml:space="preserve">system </w:t>
      </w:r>
      <w:r w:rsidR="00B72531" w:rsidRPr="00646B9D">
        <w:t xml:space="preserve">also does not collect any identifying data directly from </w:t>
      </w:r>
      <w:r w:rsidR="00B11B7D">
        <w:t>R</w:t>
      </w:r>
      <w:r w:rsidR="00B11B7D" w:rsidRPr="00646B9D">
        <w:t>espondents</w:t>
      </w:r>
      <w:r w:rsidR="00B72531" w:rsidRPr="00646B9D">
        <w:t>. However, IP address information is accessed for the purpose of routing information between the serve</w:t>
      </w:r>
      <w:r w:rsidR="006C3578" w:rsidRPr="00D17812">
        <w:t>r and the respondent's computer—</w:t>
      </w:r>
      <w:r w:rsidR="00B72531" w:rsidRPr="00DE19E5">
        <w:t xml:space="preserve">often the IP address is that of the user's Internet Service </w:t>
      </w:r>
      <w:r w:rsidR="00B72531" w:rsidRPr="006C38EE">
        <w:t xml:space="preserve">Provider (ISP). IP addresses are not stored or tracked by </w:t>
      </w:r>
      <w:r>
        <w:t xml:space="preserve">the </w:t>
      </w:r>
      <w:r w:rsidR="00B72531" w:rsidRPr="006C38EE">
        <w:t>ASA24</w:t>
      </w:r>
      <w:r>
        <w:t xml:space="preserve"> system</w:t>
      </w:r>
      <w:r w:rsidR="00B72531" w:rsidRPr="00FC0757">
        <w:t xml:space="preserve">. However, logs of connections are kept </w:t>
      </w:r>
      <w:r w:rsidR="00831B23" w:rsidRPr="00F55FEA">
        <w:t xml:space="preserve">in the hosting environment </w:t>
      </w:r>
      <w:r w:rsidR="00B72531" w:rsidRPr="00F55FEA">
        <w:t>for audit trail purposes. This information is not mined in any way but would be available if there were a legal obligation to release it.</w:t>
      </w:r>
    </w:p>
    <w:p w14:paraId="1B994C71" w14:textId="77777777" w:rsidR="00B72531" w:rsidRPr="00F55FEA" w:rsidRDefault="00B72531" w:rsidP="00585E93">
      <w:pPr>
        <w:pStyle w:val="BodyText"/>
      </w:pPr>
      <w:r w:rsidRPr="00F55FEA">
        <w:t xml:space="preserve">Response data are secured at the hosting site using industry standard security controls, including firewalls and encryption. All data entered into </w:t>
      </w:r>
      <w:r w:rsidR="00CD723F">
        <w:t xml:space="preserve">the </w:t>
      </w:r>
      <w:r w:rsidRPr="00F55FEA">
        <w:t xml:space="preserve">ASA24 </w:t>
      </w:r>
      <w:r w:rsidR="00CD723F">
        <w:t xml:space="preserve">system </w:t>
      </w:r>
      <w:r w:rsidRPr="00F55FEA">
        <w:t xml:space="preserve">at the </w:t>
      </w:r>
      <w:r w:rsidR="00B11B7D">
        <w:t>R</w:t>
      </w:r>
      <w:r w:rsidR="00B11B7D" w:rsidRPr="00F55FEA">
        <w:t xml:space="preserve">espondent’s </w:t>
      </w:r>
      <w:r w:rsidRPr="00F55FEA">
        <w:t xml:space="preserve">computer is encrypted by the internet browser (e.g., Internet Explorer, Firefox) before they are transmitted to our servers using Secure Socket Layer (SSL) Technology. SSL allows for the authentication of the sending and receiving computers. </w:t>
      </w:r>
    </w:p>
    <w:p w14:paraId="63164040" w14:textId="77777777" w:rsidR="00831B23" w:rsidRPr="00F55FEA" w:rsidRDefault="00B72531" w:rsidP="00585E93">
      <w:pPr>
        <w:pStyle w:val="BodyText"/>
      </w:pPr>
      <w:r w:rsidRPr="00F55FEA">
        <w:t>Only a particular study’s investigator(s) and the ASA24 operations team can access response data. Access is gained through usernames and strong passwords.</w:t>
      </w:r>
    </w:p>
    <w:p w14:paraId="67ABAFBD" w14:textId="77777777" w:rsidR="00492787" w:rsidRDefault="00492787" w:rsidP="00781164">
      <w:pPr>
        <w:pStyle w:val="Heading1"/>
      </w:pPr>
      <w:r w:rsidRPr="00F55FEA">
        <w:t>ASA24 Respondent Website Screen Shots</w:t>
      </w:r>
    </w:p>
    <w:p w14:paraId="4081D35B" w14:textId="77777777" w:rsidR="00F55FEA" w:rsidRPr="00CD723F" w:rsidRDefault="00F55FEA" w:rsidP="00485825">
      <w:pPr>
        <w:rPr>
          <w:rFonts w:asciiTheme="majorHAnsi" w:hAnsiTheme="majorHAnsi"/>
        </w:rPr>
      </w:pPr>
      <w:r w:rsidRPr="00CD723F">
        <w:rPr>
          <w:rFonts w:asciiTheme="majorHAnsi" w:hAnsiTheme="majorHAnsi"/>
        </w:rPr>
        <w:t>Screen layouts will vary depending upon the screen size of the device.</w:t>
      </w:r>
    </w:p>
    <w:p w14:paraId="4F9620E6" w14:textId="77777777" w:rsidR="00001A05" w:rsidRPr="00F55FEA" w:rsidRDefault="00402A5F" w:rsidP="005A5F41">
      <w:pPr>
        <w:pStyle w:val="Caption"/>
      </w:pPr>
      <w:r w:rsidRPr="00F55FEA">
        <w:t xml:space="preserve">Figure 1: </w:t>
      </w:r>
      <w:r w:rsidR="00001A05" w:rsidRPr="00F55FEA">
        <w:t xml:space="preserve">The </w:t>
      </w:r>
      <w:r w:rsidR="00DE19E5">
        <w:t>Respondent</w:t>
      </w:r>
      <w:r w:rsidR="00DE19E5" w:rsidRPr="00F55FEA">
        <w:t xml:space="preserve"> </w:t>
      </w:r>
      <w:r w:rsidR="000D436A" w:rsidRPr="00F55FEA">
        <w:t xml:space="preserve">can </w:t>
      </w:r>
      <w:r w:rsidR="00001A05" w:rsidRPr="00F55FEA">
        <w:t>choose to complete</w:t>
      </w:r>
      <w:r w:rsidR="00282619">
        <w:t xml:space="preserve"> the</w:t>
      </w:r>
      <w:r w:rsidR="00001A05" w:rsidRPr="00F55FEA">
        <w:t xml:space="preserve"> ASA24</w:t>
      </w:r>
      <w:r w:rsidR="00282619">
        <w:t xml:space="preserve"> records or recalls</w:t>
      </w:r>
      <w:r w:rsidR="00001A05" w:rsidRPr="00F55FEA">
        <w:t xml:space="preserve"> </w:t>
      </w:r>
      <w:r w:rsidR="00282619">
        <w:t>in</w:t>
      </w:r>
      <w:r w:rsidR="00001A05" w:rsidRPr="00F55FEA">
        <w:t xml:space="preserve"> English or Spanish.</w:t>
      </w:r>
    </w:p>
    <w:p w14:paraId="4D790566" w14:textId="77777777" w:rsidR="00001A05" w:rsidRPr="00F55FEA" w:rsidRDefault="00F55FEA" w:rsidP="005A5F41">
      <w:pPr>
        <w:pStyle w:val="Image"/>
        <w:rPr>
          <w:szCs w:val="24"/>
        </w:rPr>
      </w:pPr>
      <w:r>
        <w:drawing>
          <wp:inline distT="0" distB="0" distL="0" distR="0" wp14:anchorId="4CE23F0E" wp14:editId="7A488AA8">
            <wp:extent cx="2647315" cy="2400168"/>
            <wp:effectExtent l="0" t="0" r="635" b="635"/>
            <wp:docPr id="21" name="Picture 21" descr="Figure 1: Languag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3056" b="11386"/>
                    <a:stretch/>
                  </pic:blipFill>
                  <pic:spPr bwMode="auto">
                    <a:xfrm>
                      <a:off x="0" y="0"/>
                      <a:ext cx="2647950" cy="2400744"/>
                    </a:xfrm>
                    <a:prstGeom prst="rect">
                      <a:avLst/>
                    </a:prstGeom>
                    <a:ln>
                      <a:noFill/>
                    </a:ln>
                    <a:extLst>
                      <a:ext uri="{53640926-AAD7-44D8-BBD7-CCE9431645EC}">
                        <a14:shadowObscured xmlns:a14="http://schemas.microsoft.com/office/drawing/2010/main"/>
                      </a:ext>
                    </a:extLst>
                  </pic:spPr>
                </pic:pic>
              </a:graphicData>
            </a:graphic>
          </wp:inline>
        </w:drawing>
      </w:r>
    </w:p>
    <w:p w14:paraId="36D0FED6" w14:textId="77777777" w:rsidR="00001A05" w:rsidRPr="00F55FEA" w:rsidRDefault="004673C1" w:rsidP="005A5F41">
      <w:pPr>
        <w:pStyle w:val="Caption"/>
      </w:pPr>
      <w:r>
        <w:lastRenderedPageBreak/>
        <w:br/>
      </w:r>
      <w:r w:rsidR="00001A05" w:rsidRPr="00F55FEA">
        <w:t xml:space="preserve">Figure 2: An introductory screen prompts the participant to report everything that she or he had to eat or drink </w:t>
      </w:r>
      <w:r w:rsidR="00646B9D">
        <w:t>for the desired period.</w:t>
      </w:r>
    </w:p>
    <w:p w14:paraId="4CE1BB86" w14:textId="77777777" w:rsidR="001A655F" w:rsidRDefault="00F55FEA" w:rsidP="00D05814">
      <w:pPr>
        <w:pStyle w:val="Image"/>
      </w:pPr>
      <w:r w:rsidRPr="00F55FEA">
        <w:t xml:space="preserve"> </w:t>
      </w:r>
      <w:r>
        <w:rPr>
          <w:b w:val="0"/>
        </w:rPr>
        <w:drawing>
          <wp:inline distT="0" distB="0" distL="0" distR="0" wp14:anchorId="0F1B11FD" wp14:editId="6824DCFD">
            <wp:extent cx="1733550" cy="1638300"/>
            <wp:effectExtent l="0" t="0" r="0" b="0"/>
            <wp:docPr id="22" name="Picture 22" descr="Figure 2: Food Reporting Time Period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3501" b="10468"/>
                    <a:stretch/>
                  </pic:blipFill>
                  <pic:spPr bwMode="auto">
                    <a:xfrm>
                      <a:off x="0" y="0"/>
                      <a:ext cx="1734180" cy="1638896"/>
                    </a:xfrm>
                    <a:prstGeom prst="rect">
                      <a:avLst/>
                    </a:prstGeom>
                    <a:ln>
                      <a:noFill/>
                    </a:ln>
                    <a:extLst>
                      <a:ext uri="{53640926-AAD7-44D8-BBD7-CCE9431645EC}">
                        <a14:shadowObscured xmlns:a14="http://schemas.microsoft.com/office/drawing/2010/main"/>
                      </a:ext>
                    </a:extLst>
                  </pic:spPr>
                </pic:pic>
              </a:graphicData>
            </a:graphic>
          </wp:inline>
        </w:drawing>
      </w:r>
      <w:r w:rsidR="004673C1">
        <w:br/>
      </w:r>
      <w:r w:rsidR="004673C1">
        <w:br/>
      </w:r>
      <w:r w:rsidR="00646B9D" w:rsidRPr="00F55FEA">
        <w:t xml:space="preserve">Figure </w:t>
      </w:r>
      <w:r w:rsidR="00646B9D">
        <w:t>3</w:t>
      </w:r>
      <w:r w:rsidR="00646B9D" w:rsidRPr="00F55FEA">
        <w:t>: The meal details screen collects information on the eating occasion and time, and displays optional modules that can be selected by the researcher to query where meals were eaten, whether meals were eaten alone or with others, and television and computer use during meals. This is the first step in the meal-based Quick List.</w:t>
      </w:r>
      <w:r w:rsidR="004673C1">
        <w:br/>
      </w:r>
      <w:r w:rsidR="004673C1">
        <w:br/>
      </w:r>
      <w:r w:rsidR="00D05814">
        <w:rPr>
          <w:b w:val="0"/>
        </w:rPr>
        <w:drawing>
          <wp:inline distT="0" distB="0" distL="0" distR="0" wp14:anchorId="0154FA14" wp14:editId="2830832B">
            <wp:extent cx="4543376" cy="4893503"/>
            <wp:effectExtent l="0" t="0" r="0" b="2540"/>
            <wp:docPr id="1" name="Picture 1" descr="Figure 3: Report Meals and Snac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05" t="26760" r="67024" b="10557"/>
                    <a:stretch/>
                  </pic:blipFill>
                  <pic:spPr bwMode="auto">
                    <a:xfrm>
                      <a:off x="0" y="0"/>
                      <a:ext cx="4588076" cy="4941647"/>
                    </a:xfrm>
                    <a:prstGeom prst="rect">
                      <a:avLst/>
                    </a:prstGeom>
                    <a:ln>
                      <a:noFill/>
                    </a:ln>
                    <a:extLst>
                      <a:ext uri="{53640926-AAD7-44D8-BBD7-CCE9431645EC}">
                        <a14:shadowObscured xmlns:a14="http://schemas.microsoft.com/office/drawing/2010/main"/>
                      </a:ext>
                    </a:extLst>
                  </pic:spPr>
                </pic:pic>
              </a:graphicData>
            </a:graphic>
          </wp:inline>
        </w:drawing>
      </w:r>
    </w:p>
    <w:p w14:paraId="78F780B5" w14:textId="241175D2" w:rsidR="00402A5F" w:rsidRPr="00F55FEA" w:rsidRDefault="00001A05" w:rsidP="00D05814">
      <w:pPr>
        <w:pStyle w:val="Image"/>
      </w:pPr>
      <w:r w:rsidRPr="00F55FEA">
        <w:lastRenderedPageBreak/>
        <w:t xml:space="preserve">Figure </w:t>
      </w:r>
      <w:r w:rsidR="00646B9D">
        <w:t>4</w:t>
      </w:r>
      <w:r w:rsidRPr="00F55FEA">
        <w:t xml:space="preserve">: The </w:t>
      </w:r>
      <w:r w:rsidR="00646B9D">
        <w:t>Find Foods &amp; Drinks</w:t>
      </w:r>
      <w:r w:rsidR="00402A5F" w:rsidRPr="00F55FEA">
        <w:t xml:space="preserve"> </w:t>
      </w:r>
      <w:r w:rsidR="000D436A" w:rsidRPr="00F55FEA">
        <w:t>s</w:t>
      </w:r>
      <w:r w:rsidR="00402A5F" w:rsidRPr="00F55FEA">
        <w:t>creen</w:t>
      </w:r>
      <w:r w:rsidRPr="00F55FEA">
        <w:t xml:space="preserve"> is used to select foods</w:t>
      </w:r>
      <w:r w:rsidR="00646B9D">
        <w:t>,</w:t>
      </w:r>
      <w:r w:rsidRPr="00F55FEA">
        <w:t xml:space="preserve"> drinks</w:t>
      </w:r>
      <w:r w:rsidR="00646B9D">
        <w:t>, and supplements</w:t>
      </w:r>
      <w:r w:rsidRPr="00F55FEA">
        <w:t xml:space="preserve"> to be added to </w:t>
      </w:r>
      <w:r w:rsidR="00646B9D">
        <w:t>a meal during</w:t>
      </w:r>
      <w:r w:rsidRPr="00F55FEA">
        <w:t xml:space="preserve"> the Quick </w:t>
      </w:r>
      <w:r w:rsidR="00646B9D">
        <w:t xml:space="preserve">List </w:t>
      </w:r>
      <w:r w:rsidRPr="00F55FEA">
        <w:t>Pass</w:t>
      </w:r>
      <w:r w:rsidR="00B11B7D">
        <w:t xml:space="preserve">  </w:t>
      </w:r>
      <w:r w:rsidR="00646B9D">
        <w:t>during the reporting period assigned by the Researcher</w:t>
      </w:r>
      <w:r w:rsidR="000856B8" w:rsidRPr="00F55FEA">
        <w:t>.</w:t>
      </w:r>
    </w:p>
    <w:p w14:paraId="4A11A4AD" w14:textId="676B0601" w:rsidR="00056D18" w:rsidRDefault="00D05814" w:rsidP="005A5F41">
      <w:pPr>
        <w:pStyle w:val="Image"/>
      </w:pPr>
      <w:r>
        <w:drawing>
          <wp:inline distT="0" distB="0" distL="0" distR="0" wp14:anchorId="0FD2480E" wp14:editId="2DE19C6C">
            <wp:extent cx="5432170" cy="7296150"/>
            <wp:effectExtent l="0" t="0" r="0" b="0"/>
            <wp:docPr id="5" name="Picture 5" descr="Figure 4: Find Food and Dr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827" t="18230" r="66827" b="3722"/>
                    <a:stretch/>
                  </pic:blipFill>
                  <pic:spPr bwMode="auto">
                    <a:xfrm>
                      <a:off x="0" y="0"/>
                      <a:ext cx="5454986" cy="7326794"/>
                    </a:xfrm>
                    <a:prstGeom prst="rect">
                      <a:avLst/>
                    </a:prstGeom>
                    <a:ln>
                      <a:noFill/>
                    </a:ln>
                    <a:extLst>
                      <a:ext uri="{53640926-AAD7-44D8-BBD7-CCE9431645EC}">
                        <a14:shadowObscured xmlns:a14="http://schemas.microsoft.com/office/drawing/2010/main"/>
                      </a:ext>
                    </a:extLst>
                  </pic:spPr>
                </pic:pic>
              </a:graphicData>
            </a:graphic>
          </wp:inline>
        </w:drawing>
      </w:r>
      <w:r w:rsidR="00646B9D" w:rsidRPr="00646B9D">
        <w:t xml:space="preserve"> </w:t>
      </w:r>
    </w:p>
    <w:p w14:paraId="682E45C2" w14:textId="644E17E0" w:rsidR="00E85301" w:rsidRPr="00F55FEA" w:rsidRDefault="00402A5F" w:rsidP="005A5F41">
      <w:pPr>
        <w:pStyle w:val="Caption"/>
      </w:pPr>
      <w:r w:rsidRPr="00F55FEA">
        <w:lastRenderedPageBreak/>
        <w:t xml:space="preserve">Figure </w:t>
      </w:r>
      <w:r w:rsidR="000856B8" w:rsidRPr="00F55FEA">
        <w:t>5</w:t>
      </w:r>
      <w:r w:rsidRPr="00F55FEA">
        <w:t xml:space="preserve">: </w:t>
      </w:r>
      <w:r w:rsidR="00DE19E5">
        <w:t>Respondents</w:t>
      </w:r>
      <w:r w:rsidR="00DE19E5" w:rsidRPr="00F55FEA">
        <w:t xml:space="preserve"> </w:t>
      </w:r>
      <w:r w:rsidR="00AA4AA9" w:rsidRPr="00F55FEA">
        <w:t xml:space="preserve">complete the Quick List pass by </w:t>
      </w:r>
      <w:r w:rsidR="00D17812">
        <w:t xml:space="preserve">adding meals and selecting foods, drinks, and supplements. </w:t>
      </w:r>
      <w:r w:rsidR="00001A05" w:rsidRPr="00F55FEA">
        <w:t>The food</w:t>
      </w:r>
      <w:r w:rsidR="00D17812">
        <w:t>,</w:t>
      </w:r>
      <w:r w:rsidR="00001A05" w:rsidRPr="00F55FEA">
        <w:t xml:space="preserve"> drink</w:t>
      </w:r>
      <w:r w:rsidR="00D17812">
        <w:t>, and supplement</w:t>
      </w:r>
      <w:r w:rsidR="00001A05" w:rsidRPr="00F55FEA">
        <w:t xml:space="preserve"> terms are based on the National Health and Nutrition Examination Survey</w:t>
      </w:r>
      <w:r w:rsidR="006C38EE">
        <w:t xml:space="preserve"> (NHANES)</w:t>
      </w:r>
      <w:r w:rsidR="00001A05" w:rsidRPr="00F55FEA">
        <w:t>.</w:t>
      </w:r>
    </w:p>
    <w:p w14:paraId="52371CDD" w14:textId="7C97E663" w:rsidR="00E85301" w:rsidRPr="00F55FEA" w:rsidRDefault="00D17812" w:rsidP="005A5F41">
      <w:pPr>
        <w:pStyle w:val="Image"/>
        <w:rPr>
          <w:sz w:val="24"/>
          <w:szCs w:val="24"/>
        </w:rPr>
      </w:pPr>
      <w:r w:rsidRPr="00D17812">
        <w:t xml:space="preserve"> </w:t>
      </w:r>
      <w:r w:rsidR="00CD6E28">
        <w:drawing>
          <wp:inline distT="0" distB="0" distL="0" distR="0" wp14:anchorId="6A6E534E" wp14:editId="555BC8A4">
            <wp:extent cx="5321808" cy="4909376"/>
            <wp:effectExtent l="0" t="0" r="0" b="5715"/>
            <wp:docPr id="4" name="Picture 4" descr="Figure 5: My Foods and Dr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892" t="18165" r="27415" b="11081"/>
                    <a:stretch/>
                  </pic:blipFill>
                  <pic:spPr bwMode="auto">
                    <a:xfrm>
                      <a:off x="0" y="0"/>
                      <a:ext cx="5321808" cy="4909376"/>
                    </a:xfrm>
                    <a:prstGeom prst="rect">
                      <a:avLst/>
                    </a:prstGeom>
                    <a:ln>
                      <a:noFill/>
                    </a:ln>
                    <a:extLst>
                      <a:ext uri="{53640926-AAD7-44D8-BBD7-CCE9431645EC}">
                        <a14:shadowObscured xmlns:a14="http://schemas.microsoft.com/office/drawing/2010/main"/>
                      </a:ext>
                    </a:extLst>
                  </pic:spPr>
                </pic:pic>
              </a:graphicData>
            </a:graphic>
          </wp:inline>
        </w:drawing>
      </w:r>
    </w:p>
    <w:p w14:paraId="275B1EA8" w14:textId="4E885601" w:rsidR="00E85301" w:rsidRPr="00F55FEA" w:rsidRDefault="00E85301" w:rsidP="005A5F41">
      <w:pPr>
        <w:pStyle w:val="Image"/>
        <w:rPr>
          <w:sz w:val="24"/>
          <w:szCs w:val="24"/>
        </w:rPr>
      </w:pPr>
    </w:p>
    <w:p w14:paraId="6DB3DABC" w14:textId="77777777" w:rsidR="00AA4AA9" w:rsidRPr="00F55FEA" w:rsidRDefault="00AA4AA9" w:rsidP="005A5F41">
      <w:pPr>
        <w:pStyle w:val="Caption"/>
      </w:pPr>
      <w:r w:rsidRPr="00F55FEA">
        <w:lastRenderedPageBreak/>
        <w:t xml:space="preserve">Figure </w:t>
      </w:r>
      <w:r w:rsidR="00D17812">
        <w:t>6</w:t>
      </w:r>
      <w:r w:rsidRPr="00F55FEA">
        <w:t xml:space="preserve">: </w:t>
      </w:r>
      <w:r w:rsidR="00CF462A">
        <w:t>In a recall, a</w:t>
      </w:r>
      <w:r w:rsidRPr="00F55FEA">
        <w:t xml:space="preserve">fter the </w:t>
      </w:r>
      <w:r w:rsidR="00DE19E5">
        <w:t>Respondent</w:t>
      </w:r>
      <w:r w:rsidR="00DE19E5" w:rsidRPr="00F55FEA">
        <w:t xml:space="preserve"> </w:t>
      </w:r>
      <w:r w:rsidRPr="00F55FEA">
        <w:t>reports the foods</w:t>
      </w:r>
      <w:r w:rsidR="00D17812">
        <w:t>, drinks</w:t>
      </w:r>
      <w:r w:rsidR="00DE19E5">
        <w:t xml:space="preserve"> </w:t>
      </w:r>
      <w:r w:rsidR="00D17812">
        <w:t>and supplements</w:t>
      </w:r>
      <w:r w:rsidRPr="00F55FEA">
        <w:t xml:space="preserve"> consumed and selects </w:t>
      </w:r>
      <w:r w:rsidR="00D17812">
        <w:t>the Next button</w:t>
      </w:r>
      <w:r w:rsidR="006C38EE">
        <w:t xml:space="preserve"> in Figure 5</w:t>
      </w:r>
      <w:r w:rsidRPr="00F55FEA">
        <w:t xml:space="preserve">, </w:t>
      </w:r>
      <w:r w:rsidR="00D17812">
        <w:t>gaps between meals are identified (</w:t>
      </w:r>
      <w:r w:rsidRPr="00F55FEA">
        <w:t xml:space="preserve">Meal Gap Review </w:t>
      </w:r>
      <w:r w:rsidR="00D17812">
        <w:t>pass)</w:t>
      </w:r>
      <w:r w:rsidR="006C38EE">
        <w:t xml:space="preserve"> After reviewing the gaps, the Respondent selects the ‘Add Details’ button.</w:t>
      </w:r>
    </w:p>
    <w:p w14:paraId="27DB57FB" w14:textId="77777777" w:rsidR="00AA4AA9" w:rsidRPr="00F55FEA" w:rsidRDefault="00FC0757" w:rsidP="005A5F41">
      <w:pPr>
        <w:pStyle w:val="Image"/>
        <w:rPr>
          <w:sz w:val="24"/>
          <w:szCs w:val="24"/>
        </w:rPr>
      </w:pPr>
      <w:r>
        <w:drawing>
          <wp:inline distT="0" distB="0" distL="0" distR="0" wp14:anchorId="0CF6EEDD" wp14:editId="67ADB86C">
            <wp:extent cx="5368037" cy="6219825"/>
            <wp:effectExtent l="0" t="0" r="4445" b="0"/>
            <wp:docPr id="39" name="Picture 39" descr="Figure 6: My Foods &amp; Drinks Screen with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68037" cy="6219825"/>
                    </a:xfrm>
                    <a:prstGeom prst="rect">
                      <a:avLst/>
                    </a:prstGeom>
                  </pic:spPr>
                </pic:pic>
              </a:graphicData>
            </a:graphic>
          </wp:inline>
        </w:drawing>
      </w:r>
    </w:p>
    <w:p w14:paraId="24CB116D" w14:textId="77777777" w:rsidR="00402A5F" w:rsidRPr="00F55FEA" w:rsidRDefault="00AA4AA9" w:rsidP="005A5F41">
      <w:pPr>
        <w:pStyle w:val="Caption"/>
      </w:pPr>
      <w:r w:rsidRPr="00F55FEA">
        <w:lastRenderedPageBreak/>
        <w:t xml:space="preserve">Figures </w:t>
      </w:r>
      <w:r w:rsidR="00D17812">
        <w:t>7</w:t>
      </w:r>
      <w:r w:rsidRPr="00F55FEA">
        <w:t>a-c</w:t>
      </w:r>
      <w:r w:rsidR="00402A5F" w:rsidRPr="00F55FEA">
        <w:t xml:space="preserve">: </w:t>
      </w:r>
      <w:r w:rsidRPr="00F55FEA">
        <w:t xml:space="preserve">The detail pass prompts the </w:t>
      </w:r>
      <w:r w:rsidR="00D17812">
        <w:t>Respondent</w:t>
      </w:r>
      <w:r w:rsidR="00D17812" w:rsidRPr="00F55FEA">
        <w:t xml:space="preserve"> </w:t>
      </w:r>
      <w:r w:rsidR="00402A5F" w:rsidRPr="00F55FEA">
        <w:t xml:space="preserve">to report the details of each </w:t>
      </w:r>
      <w:r w:rsidR="00D17812" w:rsidRPr="00F55FEA">
        <w:t>food</w:t>
      </w:r>
      <w:r w:rsidR="00D17812">
        <w:t>,</w:t>
      </w:r>
      <w:r w:rsidR="00402A5F" w:rsidRPr="00F55FEA">
        <w:t xml:space="preserve"> drink, </w:t>
      </w:r>
      <w:r w:rsidR="00D17812">
        <w:t xml:space="preserve">and supplement </w:t>
      </w:r>
      <w:r w:rsidR="00402A5F" w:rsidRPr="00F55FEA">
        <w:t xml:space="preserve">including </w:t>
      </w:r>
      <w:r w:rsidRPr="00F55FEA">
        <w:t xml:space="preserve">the specific type or </w:t>
      </w:r>
      <w:r w:rsidR="00402A5F" w:rsidRPr="00F55FEA">
        <w:t xml:space="preserve">how it was prepared, anything added to it, and the </w:t>
      </w:r>
      <w:r w:rsidRPr="00F55FEA">
        <w:t>amount that was consumed.</w:t>
      </w:r>
      <w:r w:rsidR="00402A5F" w:rsidRPr="00F55FEA">
        <w:t xml:space="preserve"> </w:t>
      </w:r>
    </w:p>
    <w:p w14:paraId="1D6842E3" w14:textId="77777777" w:rsidR="001D3975" w:rsidRPr="00F55FEA" w:rsidRDefault="00712AEF">
      <w:pPr>
        <w:pStyle w:val="Caption"/>
      </w:pPr>
      <w:r w:rsidRPr="00F55FEA">
        <w:t xml:space="preserve">Figure </w:t>
      </w:r>
      <w:r w:rsidR="00D17812">
        <w:t>7</w:t>
      </w:r>
      <w:r w:rsidRPr="00F55FEA">
        <w:t>a.</w:t>
      </w:r>
    </w:p>
    <w:p w14:paraId="43DAD276" w14:textId="77777777" w:rsidR="00AA4AA9" w:rsidRPr="00F55FEA" w:rsidRDefault="00FC0757" w:rsidP="00383144">
      <w:pPr>
        <w:pStyle w:val="Image"/>
        <w:rPr>
          <w:sz w:val="24"/>
          <w:szCs w:val="24"/>
        </w:rPr>
      </w:pPr>
      <w:r>
        <w:drawing>
          <wp:inline distT="0" distB="0" distL="0" distR="0" wp14:anchorId="5554D68C" wp14:editId="02E75E17">
            <wp:extent cx="5086350" cy="3343275"/>
            <wp:effectExtent l="0" t="0" r="0" b="9525"/>
            <wp:docPr id="40" name="Picture 40" descr="Figure 7a: Foo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6350" cy="3343275"/>
                    </a:xfrm>
                    <a:prstGeom prst="rect">
                      <a:avLst/>
                    </a:prstGeom>
                  </pic:spPr>
                </pic:pic>
              </a:graphicData>
            </a:graphic>
          </wp:inline>
        </w:drawing>
      </w:r>
    </w:p>
    <w:p w14:paraId="7D17B4A4" w14:textId="77777777" w:rsidR="00712AEF" w:rsidRPr="00F55FEA" w:rsidRDefault="00712AEF" w:rsidP="005A5F41">
      <w:pPr>
        <w:pStyle w:val="Caption"/>
      </w:pPr>
      <w:r w:rsidRPr="00F55FEA">
        <w:t xml:space="preserve">Figure </w:t>
      </w:r>
      <w:r w:rsidR="00D17812">
        <w:t>7</w:t>
      </w:r>
      <w:r w:rsidRPr="00F55FEA">
        <w:t>b.</w:t>
      </w:r>
    </w:p>
    <w:p w14:paraId="1179F550" w14:textId="77777777" w:rsidR="00E85301" w:rsidRPr="00F55FEA" w:rsidRDefault="00FC0757" w:rsidP="005A5F41">
      <w:pPr>
        <w:pStyle w:val="Image"/>
        <w:rPr>
          <w:sz w:val="24"/>
          <w:szCs w:val="24"/>
        </w:rPr>
      </w:pPr>
      <w:r>
        <w:drawing>
          <wp:inline distT="0" distB="0" distL="0" distR="0" wp14:anchorId="46A93887" wp14:editId="2003AC97">
            <wp:extent cx="5442492" cy="3124200"/>
            <wp:effectExtent l="0" t="0" r="6350" b="0"/>
            <wp:docPr id="41" name="Picture 41" descr="Figure 7b: Food Details scree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5532" cy="3125945"/>
                    </a:xfrm>
                    <a:prstGeom prst="rect">
                      <a:avLst/>
                    </a:prstGeom>
                  </pic:spPr>
                </pic:pic>
              </a:graphicData>
            </a:graphic>
          </wp:inline>
        </w:drawing>
      </w:r>
    </w:p>
    <w:p w14:paraId="0EC4A9C0" w14:textId="77777777" w:rsidR="00712AEF" w:rsidRPr="00F55FEA" w:rsidRDefault="00712AEF" w:rsidP="005A5F41">
      <w:pPr>
        <w:pStyle w:val="Caption"/>
      </w:pPr>
      <w:r w:rsidRPr="00F55FEA">
        <w:lastRenderedPageBreak/>
        <w:t xml:space="preserve">Figure </w:t>
      </w:r>
      <w:r w:rsidR="00D17812">
        <w:t>7</w:t>
      </w:r>
      <w:r w:rsidRPr="00F55FEA">
        <w:t>c.</w:t>
      </w:r>
    </w:p>
    <w:p w14:paraId="29B0DA42" w14:textId="77777777" w:rsidR="00AA4AA9" w:rsidRPr="00F55FEA" w:rsidRDefault="00FC0757" w:rsidP="00383144">
      <w:pPr>
        <w:pStyle w:val="Image"/>
        <w:rPr>
          <w:sz w:val="24"/>
          <w:szCs w:val="24"/>
        </w:rPr>
      </w:pPr>
      <w:r>
        <w:drawing>
          <wp:inline distT="0" distB="0" distL="0" distR="0" wp14:anchorId="114021B0" wp14:editId="451BA036">
            <wp:extent cx="5410200" cy="2346154"/>
            <wp:effectExtent l="0" t="0" r="0" b="0"/>
            <wp:docPr id="43" name="Picture 43" descr="Figure 7c: Food Details scree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10200" cy="2346154"/>
                    </a:xfrm>
                    <a:prstGeom prst="rect">
                      <a:avLst/>
                    </a:prstGeom>
                  </pic:spPr>
                </pic:pic>
              </a:graphicData>
            </a:graphic>
          </wp:inline>
        </w:drawing>
      </w:r>
    </w:p>
    <w:p w14:paraId="00B1CF9A" w14:textId="77777777" w:rsidR="000D436A" w:rsidRPr="00F55FEA" w:rsidRDefault="000D436A" w:rsidP="005A5F41">
      <w:pPr>
        <w:pStyle w:val="Caption"/>
      </w:pPr>
      <w:r w:rsidRPr="00F55FEA">
        <w:lastRenderedPageBreak/>
        <w:t xml:space="preserve">Figure </w:t>
      </w:r>
      <w:r w:rsidR="00D17812">
        <w:t>8</w:t>
      </w:r>
      <w:r w:rsidRPr="00F55FEA">
        <w:t>: Once the Detail Pass is complete, the Final Review begins.</w:t>
      </w:r>
      <w:r w:rsidR="00E60FAE" w:rsidRPr="00F55FEA">
        <w:t xml:space="preserve"> </w:t>
      </w:r>
      <w:r w:rsidR="000856B8" w:rsidRPr="00F55FEA">
        <w:t xml:space="preserve">The </w:t>
      </w:r>
      <w:r w:rsidR="00B11B7D">
        <w:t>Respondent</w:t>
      </w:r>
      <w:r w:rsidR="00B11B7D" w:rsidRPr="00F55FEA">
        <w:t xml:space="preserve"> </w:t>
      </w:r>
      <w:r w:rsidR="000856B8" w:rsidRPr="00F55FEA">
        <w:t>can make changes to the details for a given food or drink and add more foods and drinks if necessary.</w:t>
      </w:r>
    </w:p>
    <w:p w14:paraId="4075EE35" w14:textId="77777777" w:rsidR="000D436A" w:rsidRPr="00F55FEA" w:rsidRDefault="006C38EE" w:rsidP="005A5F41">
      <w:pPr>
        <w:pStyle w:val="Image"/>
        <w:rPr>
          <w:sz w:val="24"/>
          <w:szCs w:val="24"/>
        </w:rPr>
      </w:pPr>
      <w:r>
        <w:drawing>
          <wp:inline distT="0" distB="0" distL="0" distR="0" wp14:anchorId="4B585BD4" wp14:editId="4D88BF79">
            <wp:extent cx="5486400" cy="5413717"/>
            <wp:effectExtent l="0" t="0" r="0" b="0"/>
            <wp:docPr id="35" name="Picture 35" descr="Figure 8: Final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5413717"/>
                    </a:xfrm>
                    <a:prstGeom prst="rect">
                      <a:avLst/>
                    </a:prstGeom>
                  </pic:spPr>
                </pic:pic>
              </a:graphicData>
            </a:graphic>
          </wp:inline>
        </w:drawing>
      </w:r>
    </w:p>
    <w:p w14:paraId="074047FE" w14:textId="77777777" w:rsidR="00402A5F" w:rsidRPr="00F55FEA" w:rsidRDefault="000D436A" w:rsidP="005A5F41">
      <w:pPr>
        <w:pStyle w:val="Caption"/>
      </w:pPr>
      <w:r w:rsidRPr="00F55FEA">
        <w:lastRenderedPageBreak/>
        <w:t xml:space="preserve">Figure </w:t>
      </w:r>
      <w:r w:rsidR="00D17812">
        <w:t>9</w:t>
      </w:r>
      <w:r w:rsidR="00402A5F" w:rsidRPr="00F55FEA">
        <w:t xml:space="preserve">: The forgotten foods pass queries the </w:t>
      </w:r>
      <w:r w:rsidR="00B11B7D">
        <w:t>Respondent</w:t>
      </w:r>
      <w:r w:rsidR="00B11B7D" w:rsidRPr="00F55FEA">
        <w:t xml:space="preserve"> </w:t>
      </w:r>
      <w:r w:rsidR="00402A5F" w:rsidRPr="00F55FEA">
        <w:t xml:space="preserve">about </w:t>
      </w:r>
      <w:r w:rsidR="00001A05" w:rsidRPr="00F55FEA">
        <w:t>frequently forgotten foods.</w:t>
      </w:r>
      <w:r w:rsidR="000856B8" w:rsidRPr="00F55FEA">
        <w:t xml:space="preserve"> Responding yes to one or more categories will result in a prompt to add the forgotten foods or drinks.</w:t>
      </w:r>
    </w:p>
    <w:p w14:paraId="481686F5" w14:textId="77777777" w:rsidR="00E85301" w:rsidRPr="00F55FEA" w:rsidRDefault="006C38EE" w:rsidP="005A5F41">
      <w:pPr>
        <w:pStyle w:val="Image"/>
        <w:rPr>
          <w:sz w:val="24"/>
          <w:szCs w:val="24"/>
        </w:rPr>
      </w:pPr>
      <w:r>
        <w:drawing>
          <wp:inline distT="0" distB="0" distL="0" distR="0" wp14:anchorId="651D1CEE" wp14:editId="3A84A440">
            <wp:extent cx="5429250" cy="5299319"/>
            <wp:effectExtent l="0" t="0" r="0" b="0"/>
            <wp:docPr id="36" name="Picture 36" descr="Figure 9. Frequently Forgotten Food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30378" cy="5300420"/>
                    </a:xfrm>
                    <a:prstGeom prst="rect">
                      <a:avLst/>
                    </a:prstGeom>
                  </pic:spPr>
                </pic:pic>
              </a:graphicData>
            </a:graphic>
          </wp:inline>
        </w:drawing>
      </w:r>
    </w:p>
    <w:p w14:paraId="23443AE0" w14:textId="77777777" w:rsidR="006C38EE" w:rsidRPr="00F55FEA" w:rsidRDefault="006C38EE" w:rsidP="006C38EE">
      <w:pPr>
        <w:pStyle w:val="Caption"/>
      </w:pPr>
      <w:r w:rsidRPr="00F55FEA">
        <w:t>Figure 1</w:t>
      </w:r>
      <w:r>
        <w:t>0</w:t>
      </w:r>
      <w:r w:rsidRPr="00F55FEA">
        <w:t xml:space="preserve">: </w:t>
      </w:r>
      <w:r>
        <w:t>The Last Chance Pass provides Respondents one more opportunity to edit their intake.</w:t>
      </w:r>
    </w:p>
    <w:p w14:paraId="0B935D00" w14:textId="77777777" w:rsidR="006C38EE" w:rsidRPr="006C38EE" w:rsidRDefault="006C38EE" w:rsidP="004673C1">
      <w:pPr>
        <w:ind w:left="720"/>
      </w:pPr>
      <w:r>
        <w:rPr>
          <w:noProof/>
        </w:rPr>
        <w:drawing>
          <wp:inline distT="0" distB="0" distL="0" distR="0" wp14:anchorId="7A8B89F2" wp14:editId="6A858E52">
            <wp:extent cx="3965041" cy="1752600"/>
            <wp:effectExtent l="0" t="0" r="0" b="0"/>
            <wp:docPr id="37" name="Picture 37" descr="Figure 10: Last Chan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65041" cy="1752600"/>
                    </a:xfrm>
                    <a:prstGeom prst="rect">
                      <a:avLst/>
                    </a:prstGeom>
                  </pic:spPr>
                </pic:pic>
              </a:graphicData>
            </a:graphic>
          </wp:inline>
        </w:drawing>
      </w:r>
    </w:p>
    <w:p w14:paraId="2F637044" w14:textId="77777777" w:rsidR="00492787" w:rsidRPr="00F55FEA" w:rsidRDefault="000D436A" w:rsidP="005A5F41">
      <w:pPr>
        <w:pStyle w:val="Caption"/>
      </w:pPr>
      <w:r w:rsidRPr="00F55FEA">
        <w:lastRenderedPageBreak/>
        <w:t>Figure 1</w:t>
      </w:r>
      <w:r w:rsidR="000856B8" w:rsidRPr="00F55FEA">
        <w:t>1</w:t>
      </w:r>
      <w:r w:rsidRPr="00F55FEA">
        <w:t xml:space="preserve">: The final question </w:t>
      </w:r>
      <w:r w:rsidR="000856B8" w:rsidRPr="00F55FEA">
        <w:t>in</w:t>
      </w:r>
      <w:r w:rsidRPr="00F55FEA">
        <w:t xml:space="preserve"> the food and drink module asks the </w:t>
      </w:r>
      <w:r w:rsidR="00B11B7D">
        <w:t>Respondent</w:t>
      </w:r>
      <w:r w:rsidR="00B11B7D" w:rsidRPr="00F55FEA">
        <w:t xml:space="preserve"> </w:t>
      </w:r>
      <w:r w:rsidRPr="00F55FEA">
        <w:t>whether the amount of foods and drinks consumed yesterday was usual.</w:t>
      </w:r>
    </w:p>
    <w:p w14:paraId="0807EE7D" w14:textId="70DDE1AE" w:rsidR="000D436A" w:rsidRPr="00F55FEA" w:rsidRDefault="006C38EE" w:rsidP="0022191E">
      <w:pPr>
        <w:pStyle w:val="Image"/>
      </w:pPr>
      <w:r>
        <w:drawing>
          <wp:inline distT="0" distB="0" distL="0" distR="0" wp14:anchorId="3B69FC2F" wp14:editId="14A8405A">
            <wp:extent cx="5429250" cy="2245366"/>
            <wp:effectExtent l="0" t="0" r="0" b="2540"/>
            <wp:docPr id="38" name="Picture 38" descr="Figure 11: Amount of Reported Foo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30653" cy="2245946"/>
                    </a:xfrm>
                    <a:prstGeom prst="rect">
                      <a:avLst/>
                    </a:prstGeom>
                  </pic:spPr>
                </pic:pic>
              </a:graphicData>
            </a:graphic>
          </wp:inline>
        </w:drawing>
      </w:r>
    </w:p>
    <w:p w14:paraId="3354E8EF" w14:textId="3DA965ED" w:rsidR="000D436A" w:rsidRDefault="000D436A" w:rsidP="005A5F41">
      <w:pPr>
        <w:pStyle w:val="Caption"/>
      </w:pPr>
      <w:r w:rsidRPr="00F55FEA">
        <w:t>Figure 1</w:t>
      </w:r>
      <w:r w:rsidR="00D17812">
        <w:t>2</w:t>
      </w:r>
      <w:r w:rsidRPr="00F55FEA">
        <w:t xml:space="preserve">: </w:t>
      </w:r>
      <w:r w:rsidR="00DD45B4">
        <w:t>Once the Respondent completes the food and drink module and the supplement module, if selected by the researcher during study set up, his or her responses are saved in the secure database and he or she can exit the ASA24 system* Only the Researcher(s) who are registered to that study and the ASA24 operations team can access the response data.</w:t>
      </w:r>
    </w:p>
    <w:p w14:paraId="26B814EF" w14:textId="7F07D482" w:rsidR="00667C0C" w:rsidRDefault="00667C0C" w:rsidP="00A60C51"/>
    <w:p w14:paraId="29E4C87C" w14:textId="047753FE" w:rsidR="001A655F" w:rsidRPr="0022191E" w:rsidRDefault="00667C0C" w:rsidP="0022191E">
      <w:pPr>
        <w:jc w:val="center"/>
      </w:pPr>
      <w:r>
        <w:rPr>
          <w:noProof/>
        </w:rPr>
        <w:drawing>
          <wp:inline distT="0" distB="0" distL="0" distR="0" wp14:anchorId="320DD80A" wp14:editId="30A289BA">
            <wp:extent cx="5533224" cy="2961640"/>
            <wp:effectExtent l="0" t="0" r="0" b="0"/>
            <wp:docPr id="9" name="Picture 9" descr="Figure 12: Save and Subm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563" t="54029" r="67313" b="21002"/>
                    <a:stretch/>
                  </pic:blipFill>
                  <pic:spPr bwMode="auto">
                    <a:xfrm>
                      <a:off x="0" y="0"/>
                      <a:ext cx="5548073" cy="2969588"/>
                    </a:xfrm>
                    <a:prstGeom prst="rect">
                      <a:avLst/>
                    </a:prstGeom>
                    <a:ln>
                      <a:noFill/>
                    </a:ln>
                    <a:extLst>
                      <a:ext uri="{53640926-AAD7-44D8-BBD7-CCE9431645EC}">
                        <a14:shadowObscured xmlns:a14="http://schemas.microsoft.com/office/drawing/2010/main"/>
                      </a:ext>
                    </a:extLst>
                  </pic:spPr>
                </pic:pic>
              </a:graphicData>
            </a:graphic>
          </wp:inline>
        </w:drawing>
      </w:r>
    </w:p>
    <w:p w14:paraId="6986D1F6" w14:textId="77777777" w:rsidR="005803E7" w:rsidRDefault="005803E7">
      <w:pPr>
        <w:rPr>
          <w:rFonts w:asciiTheme="majorHAnsi" w:hAnsiTheme="majorHAnsi" w:cstheme="majorHAnsi"/>
          <w:b/>
          <w:sz w:val="20"/>
          <w:szCs w:val="20"/>
        </w:rPr>
      </w:pPr>
      <w:r>
        <w:rPr>
          <w:rFonts w:asciiTheme="majorHAnsi" w:hAnsiTheme="majorHAnsi" w:cstheme="majorHAnsi"/>
          <w:b/>
          <w:sz w:val="20"/>
          <w:szCs w:val="20"/>
        </w:rPr>
        <w:br w:type="page"/>
      </w:r>
    </w:p>
    <w:p w14:paraId="5B78E327" w14:textId="2BFAD93C" w:rsidR="000D436A" w:rsidRPr="006F5E12" w:rsidRDefault="00A60C51" w:rsidP="006F5E12">
      <w:pPr>
        <w:spacing w:after="240"/>
        <w:ind w:left="720"/>
        <w:rPr>
          <w:rFonts w:asciiTheme="majorHAnsi" w:hAnsiTheme="majorHAnsi" w:cstheme="majorHAnsi"/>
          <w:b/>
          <w:sz w:val="20"/>
          <w:szCs w:val="20"/>
        </w:rPr>
      </w:pPr>
      <w:r w:rsidRPr="00A60C51">
        <w:rPr>
          <w:rFonts w:asciiTheme="majorHAnsi" w:hAnsiTheme="majorHAnsi" w:cstheme="majorHAnsi"/>
          <w:b/>
          <w:sz w:val="20"/>
          <w:szCs w:val="20"/>
        </w:rPr>
        <w:lastRenderedPageBreak/>
        <w:t>*12b. If the Researcher chose to include the option of providing a Respondent Nutrition Report (RNR) at the end of diet recall or food record entries, participants are given the option of answering a few basic questions in order to receive a copy of their nutrition report. To view a sample of an RNR, visit https://epi.grants.cancer.gov/asa24/respondent/nutrition-report.html.</w:t>
      </w:r>
    </w:p>
    <w:p w14:paraId="26D8F6FC" w14:textId="075E3022" w:rsidR="000D436A" w:rsidRDefault="00A60C51" w:rsidP="005A5F41">
      <w:pPr>
        <w:pStyle w:val="Image"/>
        <w:rPr>
          <w:noProof w:val="0"/>
          <w:szCs w:val="24"/>
        </w:rPr>
      </w:pPr>
      <w:r>
        <w:rPr>
          <w:noProof w:val="0"/>
          <w:szCs w:val="24"/>
        </w:rPr>
        <w:t>Questions presented to the participant in advance of creation of the Respondent Nutrition Report include whether the participant would like to view the report, and if yes, they are asked to provide their age, gender, and whether participant is pregnant or lactating, as depicted in the figures below.</w:t>
      </w:r>
    </w:p>
    <w:p w14:paraId="4369317D" w14:textId="64ABF153" w:rsidR="00A60C51" w:rsidRPr="00F55FEA" w:rsidRDefault="00A60C51" w:rsidP="005A5F41">
      <w:pPr>
        <w:pStyle w:val="Image"/>
      </w:pPr>
      <w:r>
        <w:drawing>
          <wp:inline distT="0" distB="0" distL="0" distR="0" wp14:anchorId="3355E9E0" wp14:editId="0C07D4FC">
            <wp:extent cx="5384727" cy="4895850"/>
            <wp:effectExtent l="0" t="0" r="6985" b="0"/>
            <wp:docPr id="10" name="Picture 10" descr="Figure 12b: Nutrition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348" t="30194" r="65026" b="12837"/>
                    <a:stretch/>
                  </pic:blipFill>
                  <pic:spPr bwMode="auto">
                    <a:xfrm>
                      <a:off x="0" y="0"/>
                      <a:ext cx="5406498" cy="4915645"/>
                    </a:xfrm>
                    <a:prstGeom prst="rect">
                      <a:avLst/>
                    </a:prstGeom>
                    <a:ln>
                      <a:noFill/>
                    </a:ln>
                    <a:extLst>
                      <a:ext uri="{53640926-AAD7-44D8-BBD7-CCE9431645EC}">
                        <a14:shadowObscured xmlns:a14="http://schemas.microsoft.com/office/drawing/2010/main"/>
                      </a:ext>
                    </a:extLst>
                  </pic:spPr>
                </pic:pic>
              </a:graphicData>
            </a:graphic>
          </wp:inline>
        </w:drawing>
      </w:r>
    </w:p>
    <w:sectPr w:rsidR="00A60C51" w:rsidRPr="00F55FEA" w:rsidSect="00AE5649">
      <w:headerReference w:type="default" r:id="rId36"/>
      <w:footerReference w:type="even" r:id="rId37"/>
      <w:footerReference w:type="default" r:id="rId38"/>
      <w:headerReference w:type="first" r:id="rId3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15741" w14:textId="77777777" w:rsidR="001607D4" w:rsidRDefault="001607D4" w:rsidP="00B72531">
      <w:r>
        <w:separator/>
      </w:r>
    </w:p>
  </w:endnote>
  <w:endnote w:type="continuationSeparator" w:id="0">
    <w:p w14:paraId="45BECAAC" w14:textId="77777777" w:rsidR="001607D4" w:rsidRDefault="001607D4" w:rsidP="00B7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6CC20" w14:textId="77777777" w:rsidR="006C38EE" w:rsidRDefault="006C38EE" w:rsidP="006E04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1C163" w14:textId="77777777" w:rsidR="006C38EE" w:rsidRDefault="006C38EE" w:rsidP="00B725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CE47E" w14:textId="132A88D2" w:rsidR="006C38EE" w:rsidRPr="00B72531" w:rsidRDefault="006C38EE" w:rsidP="006E04DB">
    <w:pPr>
      <w:pStyle w:val="Footer"/>
      <w:framePr w:wrap="around" w:vAnchor="text" w:hAnchor="margin" w:xAlign="right" w:y="1"/>
      <w:rPr>
        <w:rStyle w:val="PageNumber"/>
        <w:rFonts w:asciiTheme="majorHAnsi" w:hAnsiTheme="majorHAnsi"/>
        <w:sz w:val="22"/>
        <w:szCs w:val="22"/>
      </w:rPr>
    </w:pPr>
    <w:r w:rsidRPr="00B72531">
      <w:rPr>
        <w:rStyle w:val="PageNumber"/>
        <w:rFonts w:asciiTheme="majorHAnsi" w:hAnsiTheme="majorHAnsi"/>
        <w:sz w:val="22"/>
        <w:szCs w:val="22"/>
      </w:rPr>
      <w:fldChar w:fldCharType="begin"/>
    </w:r>
    <w:r w:rsidRPr="00B72531">
      <w:rPr>
        <w:rStyle w:val="PageNumber"/>
        <w:rFonts w:asciiTheme="majorHAnsi" w:hAnsiTheme="majorHAnsi"/>
        <w:sz w:val="22"/>
        <w:szCs w:val="22"/>
      </w:rPr>
      <w:instrText xml:space="preserve">PAGE  </w:instrText>
    </w:r>
    <w:r w:rsidRPr="00B72531">
      <w:rPr>
        <w:rStyle w:val="PageNumber"/>
        <w:rFonts w:asciiTheme="majorHAnsi" w:hAnsiTheme="majorHAnsi"/>
        <w:sz w:val="22"/>
        <w:szCs w:val="22"/>
      </w:rPr>
      <w:fldChar w:fldCharType="separate"/>
    </w:r>
    <w:r w:rsidR="000E3006">
      <w:rPr>
        <w:rStyle w:val="PageNumber"/>
        <w:rFonts w:asciiTheme="majorHAnsi" w:hAnsiTheme="majorHAnsi"/>
        <w:noProof/>
        <w:sz w:val="22"/>
        <w:szCs w:val="22"/>
      </w:rPr>
      <w:t>16</w:t>
    </w:r>
    <w:r w:rsidRPr="00B72531">
      <w:rPr>
        <w:rStyle w:val="PageNumber"/>
        <w:rFonts w:asciiTheme="majorHAnsi" w:hAnsiTheme="majorHAnsi"/>
        <w:sz w:val="22"/>
        <w:szCs w:val="22"/>
      </w:rPr>
      <w:fldChar w:fldCharType="end"/>
    </w:r>
  </w:p>
  <w:p w14:paraId="51368A97" w14:textId="77777777" w:rsidR="006C38EE" w:rsidRDefault="006C38EE" w:rsidP="00B725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8BB16" w14:textId="77777777" w:rsidR="001607D4" w:rsidRDefault="001607D4" w:rsidP="00B72531">
      <w:r>
        <w:separator/>
      </w:r>
    </w:p>
  </w:footnote>
  <w:footnote w:type="continuationSeparator" w:id="0">
    <w:p w14:paraId="2F7B82CB" w14:textId="77777777" w:rsidR="001607D4" w:rsidRDefault="001607D4" w:rsidP="00B72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1FE61" w14:textId="1497FB33" w:rsidR="006C38EE" w:rsidRDefault="006C38EE" w:rsidP="00AE5649">
    <w:pPr>
      <w:pStyle w:val="Header"/>
      <w:spacing w:after="24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8178" w14:textId="4C62A512" w:rsidR="006C38EE" w:rsidRDefault="006C38EE" w:rsidP="00AE5649">
    <w:pPr>
      <w:pStyle w:val="Header"/>
      <w:spacing w:after="2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CEC1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60655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7C39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3626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8E83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F425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1083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2408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30B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E6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1780C"/>
    <w:multiLevelType w:val="multilevel"/>
    <w:tmpl w:val="766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B7435"/>
    <w:multiLevelType w:val="multilevel"/>
    <w:tmpl w:val="B080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360EC7"/>
    <w:multiLevelType w:val="hybridMultilevel"/>
    <w:tmpl w:val="7410E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5343E8"/>
    <w:multiLevelType w:val="multilevel"/>
    <w:tmpl w:val="AD88E61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6149097A"/>
    <w:multiLevelType w:val="hybridMultilevel"/>
    <w:tmpl w:val="DDD0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BB3099"/>
    <w:multiLevelType w:val="hybridMultilevel"/>
    <w:tmpl w:val="4906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6578DE"/>
    <w:multiLevelType w:val="multilevel"/>
    <w:tmpl w:val="6006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D16EBA"/>
    <w:multiLevelType w:val="multilevel"/>
    <w:tmpl w:val="52C2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6"/>
  </w:num>
  <w:num w:numId="15">
    <w:abstractNumId w:val="13"/>
  </w:num>
  <w:num w:numId="16">
    <w:abstractNumId w:val="12"/>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531"/>
    <w:rsid w:val="00001A05"/>
    <w:rsid w:val="0000297A"/>
    <w:rsid w:val="00012739"/>
    <w:rsid w:val="00056BED"/>
    <w:rsid w:val="00056D18"/>
    <w:rsid w:val="0007434F"/>
    <w:rsid w:val="000856B8"/>
    <w:rsid w:val="00093AD2"/>
    <w:rsid w:val="000D436A"/>
    <w:rsid w:val="000E3006"/>
    <w:rsid w:val="00112334"/>
    <w:rsid w:val="001230F6"/>
    <w:rsid w:val="00150DB8"/>
    <w:rsid w:val="001607D4"/>
    <w:rsid w:val="00160CBA"/>
    <w:rsid w:val="00164F09"/>
    <w:rsid w:val="001A655F"/>
    <w:rsid w:val="001B6354"/>
    <w:rsid w:val="001C19A3"/>
    <w:rsid w:val="001C44A3"/>
    <w:rsid w:val="001D3975"/>
    <w:rsid w:val="001E2806"/>
    <w:rsid w:val="0022191E"/>
    <w:rsid w:val="002429BE"/>
    <w:rsid w:val="002443B6"/>
    <w:rsid w:val="00244563"/>
    <w:rsid w:val="00253787"/>
    <w:rsid w:val="0027614F"/>
    <w:rsid w:val="00282619"/>
    <w:rsid w:val="002A420C"/>
    <w:rsid w:val="002A7111"/>
    <w:rsid w:val="002B5012"/>
    <w:rsid w:val="002B57BB"/>
    <w:rsid w:val="002D6797"/>
    <w:rsid w:val="00310F84"/>
    <w:rsid w:val="00322BF8"/>
    <w:rsid w:val="0037668A"/>
    <w:rsid w:val="00383144"/>
    <w:rsid w:val="003D135F"/>
    <w:rsid w:val="00402A5F"/>
    <w:rsid w:val="004363A0"/>
    <w:rsid w:val="004631B7"/>
    <w:rsid w:val="004673C1"/>
    <w:rsid w:val="00485825"/>
    <w:rsid w:val="00492787"/>
    <w:rsid w:val="0049347B"/>
    <w:rsid w:val="005019C2"/>
    <w:rsid w:val="00510F34"/>
    <w:rsid w:val="005407C8"/>
    <w:rsid w:val="005803E7"/>
    <w:rsid w:val="00585E93"/>
    <w:rsid w:val="0059671E"/>
    <w:rsid w:val="005A5F41"/>
    <w:rsid w:val="005C36A5"/>
    <w:rsid w:val="005D2032"/>
    <w:rsid w:val="005D55E2"/>
    <w:rsid w:val="00646B9D"/>
    <w:rsid w:val="00657998"/>
    <w:rsid w:val="00667C0C"/>
    <w:rsid w:val="00670467"/>
    <w:rsid w:val="00697B82"/>
    <w:rsid w:val="006C3578"/>
    <w:rsid w:val="006C38EE"/>
    <w:rsid w:val="006E04DB"/>
    <w:rsid w:val="006F3D45"/>
    <w:rsid w:val="006F5E12"/>
    <w:rsid w:val="00711510"/>
    <w:rsid w:val="00712AEF"/>
    <w:rsid w:val="00721306"/>
    <w:rsid w:val="00726715"/>
    <w:rsid w:val="00781164"/>
    <w:rsid w:val="0079596F"/>
    <w:rsid w:val="007973C8"/>
    <w:rsid w:val="007E0329"/>
    <w:rsid w:val="007E6733"/>
    <w:rsid w:val="00801C63"/>
    <w:rsid w:val="0080269C"/>
    <w:rsid w:val="00831B23"/>
    <w:rsid w:val="008426A4"/>
    <w:rsid w:val="00846DEE"/>
    <w:rsid w:val="00867A3D"/>
    <w:rsid w:val="00882FBC"/>
    <w:rsid w:val="008839B6"/>
    <w:rsid w:val="0088739F"/>
    <w:rsid w:val="008A6930"/>
    <w:rsid w:val="008D093B"/>
    <w:rsid w:val="00953613"/>
    <w:rsid w:val="009636BE"/>
    <w:rsid w:val="009E31A4"/>
    <w:rsid w:val="00A21588"/>
    <w:rsid w:val="00A60C51"/>
    <w:rsid w:val="00A705FC"/>
    <w:rsid w:val="00A724BE"/>
    <w:rsid w:val="00A841A2"/>
    <w:rsid w:val="00A87199"/>
    <w:rsid w:val="00A941D8"/>
    <w:rsid w:val="00AA4AA9"/>
    <w:rsid w:val="00AC6FCC"/>
    <w:rsid w:val="00AE5649"/>
    <w:rsid w:val="00AF7759"/>
    <w:rsid w:val="00B11B7D"/>
    <w:rsid w:val="00B3578D"/>
    <w:rsid w:val="00B6556E"/>
    <w:rsid w:val="00B72271"/>
    <w:rsid w:val="00B72531"/>
    <w:rsid w:val="00B7536E"/>
    <w:rsid w:val="00BB01AB"/>
    <w:rsid w:val="00BB57DB"/>
    <w:rsid w:val="00BD1FAB"/>
    <w:rsid w:val="00C15298"/>
    <w:rsid w:val="00C37637"/>
    <w:rsid w:val="00C44A37"/>
    <w:rsid w:val="00C6592E"/>
    <w:rsid w:val="00C84236"/>
    <w:rsid w:val="00CA0581"/>
    <w:rsid w:val="00CB2B5E"/>
    <w:rsid w:val="00CB46E4"/>
    <w:rsid w:val="00CC5213"/>
    <w:rsid w:val="00CD4B9E"/>
    <w:rsid w:val="00CD6E28"/>
    <w:rsid w:val="00CD723F"/>
    <w:rsid w:val="00CF462A"/>
    <w:rsid w:val="00D031B1"/>
    <w:rsid w:val="00D05814"/>
    <w:rsid w:val="00D1236E"/>
    <w:rsid w:val="00D17812"/>
    <w:rsid w:val="00D4536F"/>
    <w:rsid w:val="00D71042"/>
    <w:rsid w:val="00D824F7"/>
    <w:rsid w:val="00DB7525"/>
    <w:rsid w:val="00DC0D03"/>
    <w:rsid w:val="00DD45B4"/>
    <w:rsid w:val="00DE19E5"/>
    <w:rsid w:val="00E46BE6"/>
    <w:rsid w:val="00E53F44"/>
    <w:rsid w:val="00E60FAE"/>
    <w:rsid w:val="00E74FA4"/>
    <w:rsid w:val="00E85301"/>
    <w:rsid w:val="00E91371"/>
    <w:rsid w:val="00EB7059"/>
    <w:rsid w:val="00EF5A74"/>
    <w:rsid w:val="00F53E58"/>
    <w:rsid w:val="00F55FEA"/>
    <w:rsid w:val="00F94B7C"/>
    <w:rsid w:val="00FC0757"/>
    <w:rsid w:val="00FE2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11C07C"/>
  <w15:docId w15:val="{50FBE8C3-3159-482E-A563-46F36F9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578"/>
  </w:style>
  <w:style w:type="paragraph" w:styleId="Heading1">
    <w:name w:val="heading 1"/>
    <w:basedOn w:val="NormalWeb"/>
    <w:next w:val="Normal"/>
    <w:link w:val="Heading1Char"/>
    <w:uiPriority w:val="9"/>
    <w:qFormat/>
    <w:rsid w:val="00781164"/>
    <w:pPr>
      <w:spacing w:before="0" w:beforeAutospacing="0" w:after="120" w:afterAutospacing="0"/>
      <w:outlineLvl w:val="0"/>
    </w:pPr>
    <w:rPr>
      <w:rFonts w:asciiTheme="majorHAnsi" w:hAnsiTheme="majorHAnsi"/>
      <w:b/>
      <w:color w:val="4F81BD" w:themeColor="accent1"/>
      <w:sz w:val="24"/>
      <w:szCs w:val="24"/>
    </w:rPr>
  </w:style>
  <w:style w:type="paragraph" w:styleId="Heading2">
    <w:name w:val="heading 2"/>
    <w:basedOn w:val="Heading3"/>
    <w:link w:val="Heading2Char"/>
    <w:uiPriority w:val="9"/>
    <w:qFormat/>
    <w:rsid w:val="0079596F"/>
    <w:pPr>
      <w:outlineLvl w:val="1"/>
    </w:pPr>
  </w:style>
  <w:style w:type="paragraph" w:styleId="Heading3">
    <w:name w:val="heading 3"/>
    <w:basedOn w:val="Normal"/>
    <w:next w:val="Normal"/>
    <w:link w:val="Heading3Char"/>
    <w:uiPriority w:val="9"/>
    <w:unhideWhenUsed/>
    <w:qFormat/>
    <w:rsid w:val="00585E93"/>
    <w:pPr>
      <w:keepNext/>
      <w:spacing w:before="240" w:after="60"/>
      <w:outlineLvl w:val="2"/>
    </w:pPr>
    <w:rPr>
      <w:rFonts w:asciiTheme="majorHAnsi" w:eastAsia="Times New Roman" w:hAnsiTheme="majorHAns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531"/>
    <w:rPr>
      <w:color w:val="0000FF"/>
      <w:u w:val="single"/>
    </w:rPr>
  </w:style>
  <w:style w:type="character" w:styleId="Strong">
    <w:name w:val="Strong"/>
    <w:basedOn w:val="DefaultParagraphFont"/>
    <w:uiPriority w:val="22"/>
    <w:qFormat/>
    <w:rsid w:val="00B72531"/>
    <w:rPr>
      <w:b/>
      <w:bCs/>
    </w:rPr>
  </w:style>
  <w:style w:type="character" w:styleId="FollowedHyperlink">
    <w:name w:val="FollowedHyperlink"/>
    <w:basedOn w:val="DefaultParagraphFont"/>
    <w:uiPriority w:val="99"/>
    <w:semiHidden/>
    <w:unhideWhenUsed/>
    <w:rsid w:val="00B72531"/>
    <w:rPr>
      <w:color w:val="800080" w:themeColor="followedHyperlink"/>
      <w:u w:val="single"/>
    </w:rPr>
  </w:style>
  <w:style w:type="paragraph" w:styleId="NormalWeb">
    <w:name w:val="Normal (Web)"/>
    <w:basedOn w:val="Normal"/>
    <w:uiPriority w:val="99"/>
    <w:unhideWhenUsed/>
    <w:rsid w:val="00B72531"/>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79596F"/>
    <w:rPr>
      <w:rFonts w:asciiTheme="majorHAnsi" w:eastAsia="Times New Roman" w:hAnsiTheme="majorHAnsi" w:cs="Times New Roman"/>
      <w:b/>
      <w:bCs/>
    </w:rPr>
  </w:style>
  <w:style w:type="paragraph" w:customStyle="1" w:styleId="returntop">
    <w:name w:val="returntop"/>
    <w:basedOn w:val="Normal"/>
    <w:rsid w:val="00B72531"/>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781164"/>
    <w:rPr>
      <w:rFonts w:asciiTheme="majorHAnsi" w:hAnsiTheme="majorHAnsi" w:cs="Times New Roman"/>
      <w:b/>
      <w:color w:val="4F81BD" w:themeColor="accent1"/>
    </w:rPr>
  </w:style>
  <w:style w:type="paragraph" w:styleId="Footer">
    <w:name w:val="footer"/>
    <w:basedOn w:val="Normal"/>
    <w:link w:val="FooterChar"/>
    <w:uiPriority w:val="99"/>
    <w:unhideWhenUsed/>
    <w:rsid w:val="00B72531"/>
    <w:pPr>
      <w:tabs>
        <w:tab w:val="center" w:pos="4320"/>
        <w:tab w:val="right" w:pos="8640"/>
      </w:tabs>
    </w:pPr>
  </w:style>
  <w:style w:type="character" w:customStyle="1" w:styleId="FooterChar">
    <w:name w:val="Footer Char"/>
    <w:basedOn w:val="DefaultParagraphFont"/>
    <w:link w:val="Footer"/>
    <w:uiPriority w:val="99"/>
    <w:rsid w:val="00B72531"/>
  </w:style>
  <w:style w:type="character" w:styleId="PageNumber">
    <w:name w:val="page number"/>
    <w:basedOn w:val="DefaultParagraphFont"/>
    <w:uiPriority w:val="99"/>
    <w:semiHidden/>
    <w:unhideWhenUsed/>
    <w:rsid w:val="00B72531"/>
  </w:style>
  <w:style w:type="paragraph" w:styleId="Header">
    <w:name w:val="header"/>
    <w:basedOn w:val="Normal"/>
    <w:link w:val="HeaderChar"/>
    <w:uiPriority w:val="99"/>
    <w:unhideWhenUsed/>
    <w:rsid w:val="00B72531"/>
    <w:pPr>
      <w:tabs>
        <w:tab w:val="center" w:pos="4320"/>
        <w:tab w:val="right" w:pos="8640"/>
      </w:tabs>
    </w:pPr>
  </w:style>
  <w:style w:type="character" w:customStyle="1" w:styleId="HeaderChar">
    <w:name w:val="Header Char"/>
    <w:basedOn w:val="DefaultParagraphFont"/>
    <w:link w:val="Header"/>
    <w:uiPriority w:val="99"/>
    <w:rsid w:val="00B72531"/>
  </w:style>
  <w:style w:type="paragraph" w:styleId="BalloonText">
    <w:name w:val="Balloon Text"/>
    <w:basedOn w:val="Normal"/>
    <w:link w:val="BalloonTextChar"/>
    <w:uiPriority w:val="99"/>
    <w:semiHidden/>
    <w:unhideWhenUsed/>
    <w:rsid w:val="006E04DB"/>
    <w:rPr>
      <w:rFonts w:ascii="Tahoma" w:hAnsi="Tahoma" w:cs="Tahoma"/>
      <w:sz w:val="16"/>
      <w:szCs w:val="16"/>
    </w:rPr>
  </w:style>
  <w:style w:type="character" w:customStyle="1" w:styleId="BalloonTextChar">
    <w:name w:val="Balloon Text Char"/>
    <w:basedOn w:val="DefaultParagraphFont"/>
    <w:link w:val="BalloonText"/>
    <w:uiPriority w:val="99"/>
    <w:semiHidden/>
    <w:rsid w:val="006E04DB"/>
    <w:rPr>
      <w:rFonts w:ascii="Tahoma" w:hAnsi="Tahoma" w:cs="Tahoma"/>
      <w:sz w:val="16"/>
      <w:szCs w:val="16"/>
    </w:rPr>
  </w:style>
  <w:style w:type="character" w:customStyle="1" w:styleId="Heading3Char">
    <w:name w:val="Heading 3 Char"/>
    <w:basedOn w:val="DefaultParagraphFont"/>
    <w:link w:val="Heading3"/>
    <w:uiPriority w:val="9"/>
    <w:rsid w:val="00585E93"/>
    <w:rPr>
      <w:rFonts w:asciiTheme="majorHAnsi" w:eastAsia="Times New Roman" w:hAnsiTheme="majorHAnsi" w:cs="Times New Roman"/>
      <w:b/>
      <w:bCs/>
    </w:rPr>
  </w:style>
  <w:style w:type="paragraph" w:customStyle="1" w:styleId="BodyText">
    <w:name w:val="BodyText"/>
    <w:basedOn w:val="NormalWeb"/>
    <w:qFormat/>
    <w:rsid w:val="00585E93"/>
    <w:pPr>
      <w:spacing w:before="120" w:beforeAutospacing="0" w:after="120" w:afterAutospacing="0"/>
    </w:pPr>
    <w:rPr>
      <w:rFonts w:asciiTheme="majorHAnsi" w:hAnsiTheme="majorHAnsi"/>
      <w:sz w:val="24"/>
      <w:szCs w:val="24"/>
    </w:rPr>
  </w:style>
  <w:style w:type="character" w:styleId="CommentReference">
    <w:name w:val="annotation reference"/>
    <w:basedOn w:val="DefaultParagraphFont"/>
    <w:uiPriority w:val="99"/>
    <w:semiHidden/>
    <w:unhideWhenUsed/>
    <w:rsid w:val="008426A4"/>
    <w:rPr>
      <w:sz w:val="16"/>
      <w:szCs w:val="16"/>
    </w:rPr>
  </w:style>
  <w:style w:type="paragraph" w:styleId="CommentText">
    <w:name w:val="annotation text"/>
    <w:basedOn w:val="Normal"/>
    <w:link w:val="CommentTextChar"/>
    <w:uiPriority w:val="99"/>
    <w:semiHidden/>
    <w:unhideWhenUsed/>
    <w:rsid w:val="008426A4"/>
    <w:rPr>
      <w:sz w:val="20"/>
      <w:szCs w:val="20"/>
    </w:rPr>
  </w:style>
  <w:style w:type="character" w:customStyle="1" w:styleId="CommentTextChar">
    <w:name w:val="Comment Text Char"/>
    <w:basedOn w:val="DefaultParagraphFont"/>
    <w:link w:val="CommentText"/>
    <w:uiPriority w:val="99"/>
    <w:semiHidden/>
    <w:rsid w:val="008426A4"/>
    <w:rPr>
      <w:sz w:val="20"/>
      <w:szCs w:val="20"/>
    </w:rPr>
  </w:style>
  <w:style w:type="paragraph" w:styleId="CommentSubject">
    <w:name w:val="annotation subject"/>
    <w:basedOn w:val="CommentText"/>
    <w:next w:val="CommentText"/>
    <w:link w:val="CommentSubjectChar"/>
    <w:uiPriority w:val="99"/>
    <w:semiHidden/>
    <w:unhideWhenUsed/>
    <w:rsid w:val="008426A4"/>
    <w:rPr>
      <w:b/>
      <w:bCs/>
    </w:rPr>
  </w:style>
  <w:style w:type="character" w:customStyle="1" w:styleId="CommentSubjectChar">
    <w:name w:val="Comment Subject Char"/>
    <w:basedOn w:val="CommentTextChar"/>
    <w:link w:val="CommentSubject"/>
    <w:uiPriority w:val="99"/>
    <w:semiHidden/>
    <w:rsid w:val="008426A4"/>
    <w:rPr>
      <w:b/>
      <w:bCs/>
      <w:sz w:val="20"/>
      <w:szCs w:val="20"/>
    </w:rPr>
  </w:style>
  <w:style w:type="paragraph" w:styleId="Caption">
    <w:name w:val="caption"/>
    <w:basedOn w:val="NormalWeb"/>
    <w:next w:val="Normal"/>
    <w:uiPriority w:val="35"/>
    <w:unhideWhenUsed/>
    <w:qFormat/>
    <w:rsid w:val="005A5F41"/>
    <w:pPr>
      <w:keepNext/>
      <w:spacing w:before="360" w:beforeAutospacing="0" w:after="120" w:afterAutospacing="0"/>
      <w:ind w:left="720"/>
    </w:pPr>
    <w:rPr>
      <w:rFonts w:asciiTheme="majorHAnsi" w:hAnsiTheme="majorHAnsi"/>
      <w:b/>
      <w:color w:val="000000" w:themeColor="text1"/>
      <w:szCs w:val="24"/>
    </w:rPr>
  </w:style>
  <w:style w:type="paragraph" w:customStyle="1" w:styleId="Image">
    <w:name w:val="Image"/>
    <w:basedOn w:val="NormalWeb"/>
    <w:qFormat/>
    <w:rsid w:val="005A5F41"/>
    <w:pPr>
      <w:spacing w:before="120" w:beforeAutospacing="0" w:after="240" w:afterAutospacing="0"/>
      <w:ind w:left="720"/>
    </w:pPr>
    <w:rPr>
      <w:rFonts w:asciiTheme="majorHAnsi" w:hAnsiTheme="majorHAnsi"/>
      <w:b/>
      <w:noProof/>
      <w:color w:val="000000" w:themeColor="text1"/>
    </w:rPr>
  </w:style>
  <w:style w:type="character" w:customStyle="1" w:styleId="apple-converted-space">
    <w:name w:val="apple-converted-space"/>
    <w:basedOn w:val="DefaultParagraphFont"/>
    <w:rsid w:val="0027614F"/>
  </w:style>
  <w:style w:type="character" w:customStyle="1" w:styleId="pdf">
    <w:name w:val="pdf"/>
    <w:basedOn w:val="DefaultParagraphFont"/>
    <w:rsid w:val="0027614F"/>
  </w:style>
  <w:style w:type="paragraph" w:styleId="ListParagraph">
    <w:name w:val="List Paragraph"/>
    <w:basedOn w:val="Normal"/>
    <w:uiPriority w:val="34"/>
    <w:qFormat/>
    <w:rsid w:val="002A4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79153">
      <w:bodyDiv w:val="1"/>
      <w:marLeft w:val="0"/>
      <w:marRight w:val="0"/>
      <w:marTop w:val="0"/>
      <w:marBottom w:val="0"/>
      <w:divBdr>
        <w:top w:val="none" w:sz="0" w:space="0" w:color="auto"/>
        <w:left w:val="none" w:sz="0" w:space="0" w:color="auto"/>
        <w:bottom w:val="none" w:sz="0" w:space="0" w:color="auto"/>
        <w:right w:val="none" w:sz="0" w:space="0" w:color="auto"/>
      </w:divBdr>
    </w:div>
    <w:div w:id="250511265">
      <w:bodyDiv w:val="1"/>
      <w:marLeft w:val="0"/>
      <w:marRight w:val="0"/>
      <w:marTop w:val="0"/>
      <w:marBottom w:val="0"/>
      <w:divBdr>
        <w:top w:val="none" w:sz="0" w:space="0" w:color="auto"/>
        <w:left w:val="none" w:sz="0" w:space="0" w:color="auto"/>
        <w:bottom w:val="none" w:sz="0" w:space="0" w:color="auto"/>
        <w:right w:val="none" w:sz="0" w:space="0" w:color="auto"/>
      </w:divBdr>
      <w:divsChild>
        <w:div w:id="882794271">
          <w:marLeft w:val="0"/>
          <w:marRight w:val="0"/>
          <w:marTop w:val="0"/>
          <w:marBottom w:val="0"/>
          <w:divBdr>
            <w:top w:val="none" w:sz="0" w:space="0" w:color="auto"/>
            <w:left w:val="none" w:sz="0" w:space="0" w:color="auto"/>
            <w:bottom w:val="none" w:sz="0" w:space="0" w:color="auto"/>
            <w:right w:val="none" w:sz="0" w:space="0" w:color="auto"/>
          </w:divBdr>
        </w:div>
        <w:div w:id="1330795696">
          <w:marLeft w:val="0"/>
          <w:marRight w:val="0"/>
          <w:marTop w:val="0"/>
          <w:marBottom w:val="0"/>
          <w:divBdr>
            <w:top w:val="none" w:sz="0" w:space="0" w:color="auto"/>
            <w:left w:val="none" w:sz="0" w:space="0" w:color="auto"/>
            <w:bottom w:val="none" w:sz="0" w:space="0" w:color="auto"/>
            <w:right w:val="none" w:sz="0" w:space="0" w:color="auto"/>
          </w:divBdr>
        </w:div>
      </w:divsChild>
    </w:div>
    <w:div w:id="462887338">
      <w:bodyDiv w:val="1"/>
      <w:marLeft w:val="0"/>
      <w:marRight w:val="0"/>
      <w:marTop w:val="0"/>
      <w:marBottom w:val="0"/>
      <w:divBdr>
        <w:top w:val="none" w:sz="0" w:space="0" w:color="auto"/>
        <w:left w:val="none" w:sz="0" w:space="0" w:color="auto"/>
        <w:bottom w:val="none" w:sz="0" w:space="0" w:color="auto"/>
        <w:right w:val="none" w:sz="0" w:space="0" w:color="auto"/>
      </w:divBdr>
    </w:div>
    <w:div w:id="933515269">
      <w:bodyDiv w:val="1"/>
      <w:marLeft w:val="0"/>
      <w:marRight w:val="0"/>
      <w:marTop w:val="0"/>
      <w:marBottom w:val="0"/>
      <w:divBdr>
        <w:top w:val="none" w:sz="0" w:space="0" w:color="auto"/>
        <w:left w:val="none" w:sz="0" w:space="0" w:color="auto"/>
        <w:bottom w:val="none" w:sz="0" w:space="0" w:color="auto"/>
        <w:right w:val="none" w:sz="0" w:space="0" w:color="auto"/>
      </w:divBdr>
    </w:div>
    <w:div w:id="1106190630">
      <w:bodyDiv w:val="1"/>
      <w:marLeft w:val="0"/>
      <w:marRight w:val="0"/>
      <w:marTop w:val="0"/>
      <w:marBottom w:val="0"/>
      <w:divBdr>
        <w:top w:val="none" w:sz="0" w:space="0" w:color="auto"/>
        <w:left w:val="none" w:sz="0" w:space="0" w:color="auto"/>
        <w:bottom w:val="none" w:sz="0" w:space="0" w:color="auto"/>
        <w:right w:val="none" w:sz="0" w:space="0" w:color="auto"/>
      </w:divBdr>
    </w:div>
    <w:div w:id="1831939977">
      <w:bodyDiv w:val="1"/>
      <w:marLeft w:val="0"/>
      <w:marRight w:val="0"/>
      <w:marTop w:val="0"/>
      <w:marBottom w:val="0"/>
      <w:divBdr>
        <w:top w:val="none" w:sz="0" w:space="0" w:color="auto"/>
        <w:left w:val="none" w:sz="0" w:space="0" w:color="auto"/>
        <w:bottom w:val="none" w:sz="0" w:space="0" w:color="auto"/>
        <w:right w:val="none" w:sz="0" w:space="0" w:color="auto"/>
      </w:divBdr>
    </w:div>
    <w:div w:id="1854221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pi.grants.cancer.gov/asa24/respondent/methodology.html" TargetMode="External"/><Relationship Id="rId18" Type="http://schemas.openxmlformats.org/officeDocument/2006/relationships/hyperlink" Target="http://epi.grants.cancer.gov/asa24/respondent/methodology.html" TargetMode="External"/><Relationship Id="rId26" Type="http://schemas.openxmlformats.org/officeDocument/2006/relationships/image" Target="media/image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www.ars.usda.gov/Services/docs.htm?docid=7710" TargetMode="External"/><Relationship Id="rId17" Type="http://schemas.openxmlformats.org/officeDocument/2006/relationships/hyperlink" Target="http://epi.grants.cancer.gov/asa24/respondent/methodology.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pi.grants.cancer.gov/asa24/respondent/methodology.html" TargetMode="External"/><Relationship Id="rId20" Type="http://schemas.openxmlformats.org/officeDocument/2006/relationships/hyperlink" Target="http://www.ars.usda.gov/Services/docs.htm?docid=7710"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iskfactor.cancer.gov/tools/instruments/asa24/researcher/"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pi.grants.cancer.gov/asa24/respondent/methodology.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riskfactor.cancer.gov/tools/instruments/asa24/respondent/" TargetMode="External"/><Relationship Id="rId19" Type="http://schemas.openxmlformats.org/officeDocument/2006/relationships/hyperlink" Target="http://epi.grants.cancer.gov/asa24/respondent/methodology.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riskfactor.cancer.gov/tools/instruments/asa24/background/external_working.html" TargetMode="External"/><Relationship Id="rId14" Type="http://schemas.openxmlformats.org/officeDocument/2006/relationships/hyperlink" Target="http://epi.grants.cancer.gov/asa24/respondent/methodology.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3312F2-67AA-47AB-B423-6A0318F2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Overview of the ASA24™ Respondent Web sites and Considerations Related to Data Security and Participant Confidentiality 2018</vt:lpstr>
    </vt:vector>
  </TitlesOfParts>
  <Company>NCI</Company>
  <LinksUpToDate>false</LinksUpToDate>
  <CharactersWithSpaces>16795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ASA24™ Respondent Web sites and Considerations Related to Data Security and Participant Confidentiality (2018)</dc:title>
  <dc:subject>Overview of the ASA24™ Respondent Web sites and Considerations Related to Data Security and Participant Confidentiality (2018)</dc:subject>
  <dc:creator>NCI/DCCPS/ARP</dc:creator>
  <cp:keywords>Overview of the ASA24™ Respondent Web sites and Considerations Related to Data Security and Participant Confidentiality (2018)</cp:keywords>
  <cp:lastModifiedBy>Hall, Monique (IMS)</cp:lastModifiedBy>
  <cp:revision>20</cp:revision>
  <cp:lastPrinted>2015-11-05T15:46:00Z</cp:lastPrinted>
  <dcterms:created xsi:type="dcterms:W3CDTF">2018-10-22T14:04:00Z</dcterms:created>
  <dcterms:modified xsi:type="dcterms:W3CDTF">2020-03-09T17:12:00Z</dcterms:modified>
</cp:coreProperties>
</file>